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4"/>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44"/>
        <w:spacing w:after="0"/>
        <w:rPr>
          <w:sz w:val="20"/>
          <w:szCs w:val="20"/>
          <w:color w:val="auto"/>
        </w:rPr>
      </w:pPr>
      <w:r>
        <w:rPr>
          <w:rFonts w:ascii="Arial" w:cs="Arial" w:eastAsia="Arial" w:hAnsi="Arial"/>
          <w:sz w:val="21"/>
          <w:szCs w:val="21"/>
          <w:b w:val="1"/>
          <w:bCs w:val="1"/>
          <w:color w:val="auto"/>
        </w:rPr>
        <w:t>SECURITIES AND EXCHANGE COMMISSION</w:t>
      </w:r>
    </w:p>
    <w:p>
      <w:pPr>
        <w:spacing w:after="0" w:line="11" w:lineRule="exact"/>
        <w:rPr>
          <w:sz w:val="24"/>
          <w:szCs w:val="24"/>
          <w:color w:val="auto"/>
        </w:rPr>
      </w:pPr>
    </w:p>
    <w:p>
      <w:pPr>
        <w:jc w:val="center"/>
        <w:ind w:right="-144"/>
        <w:spacing w:after="0"/>
        <w:rPr>
          <w:sz w:val="20"/>
          <w:szCs w:val="20"/>
          <w:color w:val="auto"/>
        </w:rPr>
      </w:pPr>
      <w:r>
        <w:rPr>
          <w:rFonts w:ascii="Arial" w:cs="Arial" w:eastAsia="Arial" w:hAnsi="Arial"/>
          <w:sz w:val="18"/>
          <w:szCs w:val="18"/>
          <w:b w:val="1"/>
          <w:bCs w:val="1"/>
          <w:color w:val="auto"/>
        </w:rPr>
        <w:t>WASHINGTON, DC 20549</w:t>
      </w:r>
    </w:p>
    <w:p>
      <w:pPr>
        <w:spacing w:after="0" w:line="111" w:lineRule="exact"/>
        <w:rPr>
          <w:sz w:val="24"/>
          <w:szCs w:val="24"/>
          <w:color w:val="auto"/>
        </w:rPr>
      </w:pPr>
    </w:p>
    <w:p>
      <w:pPr>
        <w:jc w:val="center"/>
        <w:ind w:right="-144"/>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44"/>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44" w:lineRule="exact"/>
        <w:rPr>
          <w:sz w:val="24"/>
          <w:szCs w:val="24"/>
          <w:color w:val="auto"/>
        </w:rPr>
      </w:pPr>
    </w:p>
    <w:p>
      <w:pPr>
        <w:jc w:val="center"/>
        <w:ind w:right="-164"/>
        <w:spacing w:after="0"/>
        <w:tabs>
          <w:tab w:leader="none" w:pos="300" w:val="left"/>
        </w:tabs>
        <w:rPr>
          <w:sz w:val="20"/>
          <w:szCs w:val="20"/>
          <w:color w:val="auto"/>
        </w:rPr>
      </w:pPr>
      <w:r>
        <w:rPr>
          <w:rFonts w:ascii="Arial" w:cs="Arial" w:eastAsia="Arial" w:hAnsi="Arial"/>
          <w:sz w:val="16"/>
          <w:szCs w:val="16"/>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219"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the Registrant S</w:t>
      </w:r>
    </w:p>
    <w:p>
      <w:pPr>
        <w:spacing w:after="0" w:line="15"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w:t>
      </w:r>
    </w:p>
    <w:p>
      <w:pPr>
        <w:spacing w:after="0" w:line="219"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245"/>
          </w:cols>
          <w:pgMar w:left="255" w:top="220" w:right="399" w:bottom="1440" w:gutter="0" w:footer="0" w:header="0"/>
        </w:sectPr>
      </w:pPr>
    </w:p>
    <w:p>
      <w:pPr>
        <w:spacing w:after="0" w:line="225" w:lineRule="exact"/>
        <w:rPr>
          <w:sz w:val="24"/>
          <w:szCs w:val="24"/>
          <w:color w:val="auto"/>
        </w:rPr>
      </w:pPr>
    </w:p>
    <w:p>
      <w:pPr>
        <w:ind w:left="5"/>
        <w:spacing w:after="0"/>
        <w:rPr>
          <w:sz w:val="20"/>
          <w:szCs w:val="20"/>
          <w:color w:val="auto"/>
        </w:rPr>
      </w:pPr>
      <w:r>
        <w:rPr>
          <w:rFonts w:ascii="Arial" w:cs="Arial" w:eastAsia="Arial" w:hAnsi="Arial"/>
          <w:sz w:val="16"/>
          <w:szCs w:val="16"/>
          <w:color w:val="auto"/>
        </w:rPr>
        <w:t>£  Preliminary Proxy Statement</w:t>
      </w:r>
    </w:p>
    <w:p>
      <w:pPr>
        <w:spacing w:after="0" w:line="38" w:lineRule="exact"/>
        <w:rPr>
          <w:sz w:val="24"/>
          <w:szCs w:val="24"/>
          <w:color w:val="auto"/>
        </w:rPr>
      </w:pPr>
    </w:p>
    <w:p>
      <w:pPr>
        <w:ind w:left="5"/>
        <w:spacing w:after="0"/>
        <w:rPr>
          <w:sz w:val="20"/>
          <w:szCs w:val="20"/>
          <w:color w:val="auto"/>
        </w:rPr>
      </w:pPr>
      <w:r>
        <w:rPr>
          <w:rFonts w:ascii="Arial" w:cs="Arial" w:eastAsia="Arial" w:hAnsi="Arial"/>
          <w:sz w:val="16"/>
          <w:szCs w:val="16"/>
          <w:color w:val="auto"/>
        </w:rPr>
        <w:t>S  Definitive Proxy Statement</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color w:val="auto"/>
        </w:rPr>
        <w:t>£  Confidential, for Use of the Commission Only</w:t>
      </w:r>
    </w:p>
    <w:p>
      <w:pPr>
        <w:spacing w:after="0" w:line="3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(as permitted by Rule 14a-6(e)(2))</w:t>
      </w:r>
    </w:p>
    <w:p>
      <w:pPr>
        <w:spacing w:after="0" w:line="9" w:lineRule="exact"/>
        <w:rPr>
          <w:sz w:val="24"/>
          <w:szCs w:val="24"/>
          <w:color w:val="auto"/>
        </w:rPr>
      </w:pPr>
    </w:p>
    <w:p>
      <w:pPr>
        <w:sectPr>
          <w:pgSz w:w="11900" w:h="16838" w:orient="portrait"/>
          <w:cols w:equalWidth="0" w:num="2">
            <w:col w:w="5685" w:space="720"/>
            <w:col w:w="4840"/>
          </w:cols>
          <w:pgMar w:left="255" w:top="220" w:right="399" w:bottom="1440" w:gutter="0" w:footer="0" w:header="0"/>
          <w:type w:val="continuous"/>
        </w:sect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225" w:hanging="225"/>
        <w:spacing w:after="0"/>
        <w:tabs>
          <w:tab w:leader="none" w:pos="225"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84" w:lineRule="exact"/>
        <w:rPr>
          <w:sz w:val="24"/>
          <w:szCs w:val="24"/>
          <w:color w:val="auto"/>
        </w:rPr>
      </w:pPr>
    </w:p>
    <w:p>
      <w:pPr>
        <w:jc w:val="center"/>
        <w:ind w:right="-144"/>
        <w:spacing w:after="0"/>
        <w:rPr>
          <w:sz w:val="20"/>
          <w:szCs w:val="20"/>
          <w:color w:val="auto"/>
        </w:rPr>
      </w:pPr>
      <w:r>
        <w:rPr>
          <w:rFonts w:ascii="Arial" w:cs="Arial" w:eastAsia="Arial" w:hAnsi="Arial"/>
          <w:sz w:val="43"/>
          <w:szCs w:val="43"/>
          <w:b w:val="1"/>
          <w:bCs w:val="1"/>
          <w:color w:val="auto"/>
        </w:rPr>
        <w:t>Foot Locker, Inc.</w:t>
      </w:r>
    </w:p>
    <w:p>
      <w:pPr>
        <w:spacing w:after="0" w:line="54" w:lineRule="exact"/>
        <w:rPr>
          <w:sz w:val="24"/>
          <w:szCs w:val="24"/>
          <w:color w:val="auto"/>
        </w:rPr>
      </w:pPr>
    </w:p>
    <w:p>
      <w:pPr>
        <w:jc w:val="center"/>
        <w:ind w:right="-144"/>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ind w:left="316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45" w:hanging="545"/>
        <w:spacing w:after="0"/>
        <w:tabs>
          <w:tab w:leader="none" w:pos="545"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5" w:hanging="545"/>
        <w:spacing w:after="0"/>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965" w:hanging="355"/>
        <w:spacing w:after="0" w:line="268" w:lineRule="auto"/>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45" w:hanging="545"/>
        <w:spacing w:after="0"/>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545" w:right="440" w:hanging="545"/>
        <w:spacing w:after="0" w:line="332" w:lineRule="auto"/>
        <w:tabs>
          <w:tab w:leader="none" w:pos="545"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965" w:hanging="355"/>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65" w:hanging="357"/>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65" w:hanging="357"/>
        <w:spacing w:after="0"/>
        <w:tabs>
          <w:tab w:leader="none" w:pos="965"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300355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5"/>
          </w:cols>
          <w:pgMar w:left="255" w:top="220" w:right="39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2001520</wp:posOffset>
            </wp:positionV>
            <wp:extent cx="2015490"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NOTICE OF 2008 ANNUAL MEETING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30"/>
          <w:szCs w:val="30"/>
          <w:color w:val="auto"/>
        </w:rPr>
        <w:t>AND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30"/>
          <w:szCs w:val="30"/>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1938655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1549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t>112 West 34th Street</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New York, New York 10120</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NOTICE OF 2008 ANNUAL MEETING OF SHAREHOLDERS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620" w:type="dxa"/>
            <w:vAlign w:val="bottom"/>
          </w:tcPr>
          <w:p>
            <w:pPr>
              <w:spacing w:after="0"/>
              <w:rPr>
                <w:sz w:val="20"/>
                <w:szCs w:val="20"/>
                <w:color w:val="auto"/>
              </w:rPr>
            </w:pPr>
            <w:r>
              <w:rPr>
                <w:rFonts w:ascii="Arial" w:cs="Arial" w:eastAsia="Arial" w:hAnsi="Arial"/>
                <w:sz w:val="19"/>
                <w:szCs w:val="19"/>
                <w:b w:val="1"/>
                <w:bCs w:val="1"/>
                <w:color w:val="auto"/>
              </w:rPr>
              <w:t>DATE: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May 21, 2008</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TIME: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9:00 A.M., local time</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PLACE: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Foot Locker, Inc., 112 West 34th Street, New York, New York 10120</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RECORD DATE:</w:t>
            </w:r>
          </w:p>
        </w:tc>
        <w:tc>
          <w:tcPr>
            <w:tcW w:w="8720" w:type="dxa"/>
            <w:vAlign w:val="bottom"/>
            <w:gridSpan w:val="2"/>
          </w:tcPr>
          <w:p>
            <w:pPr>
              <w:ind w:left="600"/>
              <w:spacing w:after="0"/>
              <w:rPr>
                <w:sz w:val="20"/>
                <w:szCs w:val="20"/>
                <w:color w:val="auto"/>
              </w:rPr>
            </w:pPr>
            <w:r>
              <w:rPr>
                <w:rFonts w:ascii="Arial" w:cs="Arial" w:eastAsia="Arial" w:hAnsi="Arial"/>
                <w:sz w:val="19"/>
                <w:szCs w:val="19"/>
                <w:color w:val="auto"/>
              </w:rPr>
              <w:t>Shareholders of record on March 28, 2008 can vote at this meeting.</w:t>
            </w:r>
          </w:p>
        </w:tc>
      </w:tr>
      <w:tr>
        <w:trPr>
          <w:trHeight w:val="270"/>
        </w:trPr>
        <w:tc>
          <w:tcPr>
            <w:tcW w:w="2620" w:type="dxa"/>
            <w:vAlign w:val="bottom"/>
          </w:tcPr>
          <w:p>
            <w:pPr>
              <w:spacing w:after="0"/>
              <w:rPr>
                <w:sz w:val="20"/>
                <w:szCs w:val="20"/>
                <w:color w:val="auto"/>
              </w:rPr>
            </w:pPr>
            <w:r>
              <w:rPr>
                <w:rFonts w:ascii="Arial" w:cs="Arial" w:eastAsia="Arial" w:hAnsi="Arial"/>
                <w:sz w:val="19"/>
                <w:szCs w:val="19"/>
                <w:b w:val="1"/>
                <w:bCs w:val="1"/>
                <w:color w:val="auto"/>
              </w:rPr>
              <w:t>ITEMS OF BUSINESS:</w:t>
            </w: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Elect two members to the Board of Directors to serve for three-year terms</w:t>
            </w:r>
          </w:p>
        </w:tc>
      </w:tr>
      <w:tr>
        <w:trPr>
          <w:trHeight w:val="253"/>
        </w:trPr>
        <w:tc>
          <w:tcPr>
            <w:tcW w:w="26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5"/>
              </w:rPr>
              <w:t>Ratify the appointment of KPMG LLP as our independent registered public accounting firm for</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the 2008 fiscal year</w:t>
            </w:r>
          </w:p>
        </w:tc>
      </w:tr>
      <w:tr>
        <w:trPr>
          <w:trHeight w:val="257"/>
        </w:trPr>
        <w:tc>
          <w:tcPr>
            <w:tcW w:w="2620" w:type="dxa"/>
            <w:vAlign w:val="bottom"/>
          </w:tcPr>
          <w:p>
            <w:pPr>
              <w:spacing w:after="0"/>
              <w:rPr>
                <w:sz w:val="22"/>
                <w:szCs w:val="22"/>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8"/>
              </w:rPr>
              <w:t>Approve the Foot Locker Annual Incentive Compensation Plan, as Amended and Restated</w:t>
            </w:r>
          </w:p>
        </w:tc>
      </w:tr>
      <w:tr>
        <w:trPr>
          <w:trHeight w:val="253"/>
        </w:trPr>
        <w:tc>
          <w:tcPr>
            <w:tcW w:w="26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2"/>
              </w:rPr>
              <w:t>Transact such other business as may properly come before the meeting and at any adjournment</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or postponement.</w:t>
            </w:r>
          </w:p>
        </w:tc>
      </w:tr>
      <w:tr>
        <w:trPr>
          <w:trHeight w:val="257"/>
        </w:trPr>
        <w:tc>
          <w:tcPr>
            <w:tcW w:w="2620" w:type="dxa"/>
            <w:vAlign w:val="bottom"/>
          </w:tcPr>
          <w:p>
            <w:pPr>
              <w:spacing w:after="0"/>
              <w:rPr>
                <w:sz w:val="20"/>
                <w:szCs w:val="20"/>
                <w:color w:val="auto"/>
              </w:rPr>
            </w:pPr>
            <w:r>
              <w:rPr>
                <w:rFonts w:ascii="Arial" w:cs="Arial" w:eastAsia="Arial" w:hAnsi="Arial"/>
                <w:sz w:val="19"/>
                <w:szCs w:val="19"/>
                <w:b w:val="1"/>
                <w:bCs w:val="1"/>
                <w:color w:val="auto"/>
              </w:rPr>
              <w:t>PROXY VOTING:</w:t>
            </w:r>
          </w:p>
        </w:tc>
        <w:tc>
          <w:tcPr>
            <w:tcW w:w="8720" w:type="dxa"/>
            <w:vAlign w:val="bottom"/>
            <w:gridSpan w:val="2"/>
          </w:tcPr>
          <w:p>
            <w:pPr>
              <w:ind w:left="600"/>
              <w:spacing w:after="0"/>
              <w:rPr>
                <w:sz w:val="20"/>
                <w:szCs w:val="20"/>
                <w:color w:val="auto"/>
              </w:rPr>
            </w:pPr>
            <w:r>
              <w:rPr>
                <w:rFonts w:ascii="Arial" w:cs="Arial" w:eastAsia="Arial" w:hAnsi="Arial"/>
                <w:sz w:val="19"/>
                <w:szCs w:val="19"/>
                <w:b w:val="1"/>
                <w:bCs w:val="1"/>
                <w:color w:val="auto"/>
              </w:rPr>
              <w:t xml:space="preserve">YOUR VOTE IS IMPORTANT TO US. </w:t>
            </w:r>
            <w:r>
              <w:rPr>
                <w:rFonts w:ascii="Arial" w:cs="Arial" w:eastAsia="Arial" w:hAnsi="Arial"/>
                <w:sz w:val="19"/>
                <w:szCs w:val="19"/>
                <w:color w:val="auto"/>
              </w:rPr>
              <w:t>Please vote as soon as possible in one of these ways:</w:t>
            </w:r>
          </w:p>
        </w:tc>
      </w:tr>
      <w:tr>
        <w:trPr>
          <w:trHeight w:val="253"/>
        </w:trPr>
        <w:tc>
          <w:tcPr>
            <w:tcW w:w="262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Use the toll-free telephone number shown on the Notice of Internet Availability of Proxy</w:t>
            </w:r>
          </w:p>
        </w:tc>
      </w:tr>
      <w:tr>
        <w:trPr>
          <w:trHeight w:val="230"/>
        </w:trPr>
        <w:tc>
          <w:tcPr>
            <w:tcW w:w="2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w w:val="97"/>
              </w:rPr>
              <w:t>Materials for the 2008 Annual Meeting of Foot Locker, Inc. (your “Foot Locker Notice”) or on</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your proxy card;</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Visit the web site shown on your Foot Locker Notice or on your proxy card to vote via the</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Internet;</w:t>
            </w:r>
          </w:p>
        </w:tc>
      </w:tr>
      <w:tr>
        <w:trPr>
          <w:trHeight w:val="239"/>
        </w:trPr>
        <w:tc>
          <w:tcPr>
            <w:tcW w:w="2620" w:type="dxa"/>
            <w:vAlign w:val="bottom"/>
          </w:tcPr>
          <w:p>
            <w:pPr>
              <w:spacing w:after="0"/>
              <w:rPr>
                <w:sz w:val="20"/>
                <w:szCs w:val="20"/>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w w:val="92"/>
              </w:rPr>
              <w:t>If you received a printed copy of the proxy card, please mark, sign and return the enclosed proxy</w:t>
            </w:r>
          </w:p>
        </w:tc>
      </w:tr>
      <w:tr>
        <w:trPr>
          <w:trHeight w:val="247"/>
        </w:trPr>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780" w:type="dxa"/>
            <w:vAlign w:val="bottom"/>
          </w:tcPr>
          <w:p>
            <w:pPr>
              <w:ind w:left="260"/>
              <w:spacing w:after="0"/>
              <w:rPr>
                <w:sz w:val="20"/>
                <w:szCs w:val="20"/>
                <w:color w:val="auto"/>
              </w:rPr>
            </w:pPr>
            <w:r>
              <w:rPr>
                <w:rFonts w:ascii="Arial" w:cs="Arial" w:eastAsia="Arial" w:hAnsi="Arial"/>
                <w:sz w:val="19"/>
                <w:szCs w:val="19"/>
                <w:color w:val="auto"/>
              </w:rPr>
              <w:t>card using the postage-paid envelope provided; or</w:t>
            </w:r>
          </w:p>
        </w:tc>
      </w:tr>
      <w:tr>
        <w:trPr>
          <w:trHeight w:val="257"/>
        </w:trPr>
        <w:tc>
          <w:tcPr>
            <w:tcW w:w="2620" w:type="dxa"/>
            <w:vAlign w:val="bottom"/>
          </w:tcPr>
          <w:p>
            <w:pPr>
              <w:spacing w:after="0"/>
              <w:rPr>
                <w:sz w:val="22"/>
                <w:szCs w:val="22"/>
                <w:color w:val="auto"/>
              </w:rPr>
            </w:pPr>
          </w:p>
        </w:tc>
        <w:tc>
          <w:tcPr>
            <w:tcW w:w="940" w:type="dxa"/>
            <w:vAlign w:val="bottom"/>
          </w:tcPr>
          <w:p>
            <w:pPr>
              <w:ind w:left="600"/>
              <w:spacing w:after="0"/>
              <w:rPr>
                <w:sz w:val="20"/>
                <w:szCs w:val="20"/>
                <w:color w:val="auto"/>
              </w:rPr>
            </w:pPr>
            <w:r>
              <w:rPr>
                <w:rFonts w:ascii="Arial" w:cs="Arial" w:eastAsia="Arial" w:hAnsi="Arial"/>
                <w:sz w:val="19"/>
                <w:szCs w:val="19"/>
                <w:color w:val="auto"/>
              </w:rPr>
              <w:t>•</w:t>
            </w:r>
          </w:p>
        </w:tc>
        <w:tc>
          <w:tcPr>
            <w:tcW w:w="7780" w:type="dxa"/>
            <w:vAlign w:val="bottom"/>
          </w:tcPr>
          <w:p>
            <w:pPr>
              <w:ind w:left="260"/>
              <w:spacing w:after="0"/>
              <w:rPr>
                <w:sz w:val="20"/>
                <w:szCs w:val="20"/>
                <w:color w:val="auto"/>
              </w:rPr>
            </w:pPr>
            <w:r>
              <w:rPr>
                <w:rFonts w:ascii="Arial" w:cs="Arial" w:eastAsia="Arial" w:hAnsi="Arial"/>
                <w:sz w:val="19"/>
                <w:szCs w:val="19"/>
                <w:color w:val="auto"/>
              </w:rPr>
              <w:t>Follow the instructions on your proxy materials if your shares are held in street name.</w:t>
            </w:r>
          </w:p>
        </w:tc>
      </w:tr>
    </w:tbl>
    <w:p>
      <w:pPr>
        <w:spacing w:after="0" w:line="23" w:lineRule="exact"/>
        <w:rPr>
          <w:sz w:val="20"/>
          <w:szCs w:val="20"/>
          <w:color w:val="auto"/>
        </w:rPr>
      </w:pPr>
    </w:p>
    <w:p>
      <w:pPr>
        <w:ind w:left="3240" w:right="160"/>
        <w:spacing w:after="0" w:line="283" w:lineRule="auto"/>
        <w:rPr>
          <w:sz w:val="20"/>
          <w:szCs w:val="20"/>
          <w:color w:val="auto"/>
        </w:rPr>
      </w:pPr>
      <w:r>
        <w:rPr>
          <w:rFonts w:ascii="Arial" w:cs="Arial" w:eastAsia="Arial" w:hAnsi="Arial"/>
          <w:sz w:val="19"/>
          <w:szCs w:val="19"/>
          <w:color w:val="auto"/>
        </w:rPr>
        <w:t>Even if you plan to attend the annual meeting, we encourage you to vote in advance using one of these methods.</w:t>
      </w:r>
    </w:p>
    <w:p>
      <w:pPr>
        <w:spacing w:after="0" w:line="25" w:lineRule="exact"/>
        <w:rPr>
          <w:sz w:val="20"/>
          <w:szCs w:val="20"/>
          <w:color w:val="auto"/>
        </w:rPr>
      </w:pPr>
    </w:p>
    <w:p>
      <w:pPr>
        <w:ind w:left="9080"/>
        <w:spacing w:after="0"/>
        <w:rPr>
          <w:sz w:val="20"/>
          <w:szCs w:val="20"/>
          <w:color w:val="auto"/>
        </w:rPr>
      </w:pPr>
      <w:r>
        <w:rPr>
          <w:rFonts w:ascii="Arial" w:cs="Arial" w:eastAsia="Arial" w:hAnsi="Arial"/>
          <w:sz w:val="19"/>
          <w:szCs w:val="19"/>
          <w:color w:val="auto"/>
        </w:rPr>
        <w:t>G</w:t>
      </w:r>
      <w:r>
        <w:rPr>
          <w:rFonts w:ascii="Arial" w:cs="Arial" w:eastAsia="Arial" w:hAnsi="Arial"/>
          <w:sz w:val="14"/>
          <w:szCs w:val="14"/>
          <w:color w:val="auto"/>
        </w:rPr>
        <w:t>ARY</w:t>
      </w:r>
      <w:r>
        <w:rPr>
          <w:rFonts w:ascii="Arial" w:cs="Arial" w:eastAsia="Arial" w:hAnsi="Arial"/>
          <w:sz w:val="19"/>
          <w:szCs w:val="19"/>
          <w:color w:val="auto"/>
        </w:rPr>
        <w:t xml:space="preserve"> M. B</w:t>
      </w:r>
      <w:r>
        <w:rPr>
          <w:rFonts w:ascii="Arial" w:cs="Arial" w:eastAsia="Arial" w:hAnsi="Arial"/>
          <w:sz w:val="14"/>
          <w:szCs w:val="14"/>
          <w:color w:val="auto"/>
        </w:rPr>
        <w:t>AHLER</w:t>
      </w:r>
    </w:p>
    <w:p>
      <w:pPr>
        <w:spacing w:after="0" w:line="27" w:lineRule="exact"/>
        <w:rPr>
          <w:sz w:val="20"/>
          <w:szCs w:val="20"/>
          <w:color w:val="auto"/>
        </w:rPr>
      </w:pPr>
    </w:p>
    <w:p>
      <w:pPr>
        <w:ind w:left="9080"/>
        <w:spacing w:after="0"/>
        <w:rPr>
          <w:sz w:val="20"/>
          <w:szCs w:val="20"/>
          <w:color w:val="auto"/>
        </w:rPr>
      </w:pPr>
      <w:r>
        <w:rPr>
          <w:rFonts w:ascii="Arial" w:cs="Arial" w:eastAsia="Arial" w:hAnsi="Arial"/>
          <w:sz w:val="19"/>
          <w:szCs w:val="19"/>
          <w:i w:val="1"/>
          <w:i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color w:val="auto"/>
        </w:rPr>
        <w:t>April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7"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560" w:type="dxa"/>
            <w:vAlign w:val="bottom"/>
            <w:gridSpan w:val="8"/>
          </w:tcPr>
          <w:p>
            <w:pPr>
              <w:ind w:left="260"/>
              <w:spacing w:after="0"/>
              <w:rPr>
                <w:sz w:val="20"/>
                <w:szCs w:val="20"/>
                <w:color w:val="auto"/>
              </w:rPr>
            </w:pPr>
            <w:r>
              <w:rPr>
                <w:rFonts w:ascii="Arial" w:cs="Arial" w:eastAsia="Arial" w:hAnsi="Arial"/>
                <w:sz w:val="19"/>
                <w:szCs w:val="19"/>
                <w:b w:val="1"/>
                <w:bCs w:val="1"/>
                <w:color w:val="auto"/>
              </w:rPr>
              <w:t>TABLE OF CONTENTS</w:t>
            </w:r>
          </w:p>
        </w:tc>
        <w:tc>
          <w:tcPr>
            <w:tcW w:w="440" w:type="dxa"/>
            <w:vAlign w:val="bottom"/>
          </w:tcPr>
          <w:p>
            <w:pPr>
              <w:spacing w:after="0"/>
              <w:rPr>
                <w:sz w:val="21"/>
                <w:szCs w:val="21"/>
                <w:color w:val="auto"/>
              </w:rPr>
            </w:pPr>
          </w:p>
        </w:tc>
      </w:tr>
      <w:tr>
        <w:trPr>
          <w:trHeight w:val="303"/>
        </w:trPr>
        <w:tc>
          <w:tcPr>
            <w:tcW w:w="10980" w:type="dxa"/>
            <w:vAlign w:val="bottom"/>
            <w:gridSpan w:val="56"/>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Page</w:t>
            </w:r>
          </w:p>
        </w:tc>
      </w:tr>
      <w:tr>
        <w:trPr>
          <w:trHeight w:val="254"/>
        </w:trPr>
        <w:tc>
          <w:tcPr>
            <w:tcW w:w="20" w:type="dxa"/>
            <w:vAlign w:val="bottom"/>
            <w:shd w:val="clear" w:color="auto" w:fill="E5FFFF"/>
          </w:tcPr>
          <w:p>
            <w:pPr>
              <w:spacing w:after="0"/>
              <w:rPr>
                <w:sz w:val="22"/>
                <w:szCs w:val="22"/>
                <w:color w:val="auto"/>
              </w:rPr>
            </w:pPr>
          </w:p>
        </w:tc>
        <w:tc>
          <w:tcPr>
            <w:tcW w:w="10960" w:type="dxa"/>
            <w:vAlign w:val="bottom"/>
            <w:gridSpan w:val="55"/>
            <w:shd w:val="clear" w:color="auto" w:fill="E5FFFF"/>
          </w:tcPr>
          <w:p>
            <w:pPr>
              <w:spacing w:after="0"/>
              <w:rPr>
                <w:sz w:val="20"/>
                <w:szCs w:val="20"/>
                <w:color w:val="auto"/>
              </w:rPr>
            </w:pPr>
            <w:r>
              <w:rPr>
                <w:rFonts w:ascii="Arial" w:cs="Arial" w:eastAsia="Arial" w:hAnsi="Arial"/>
                <w:sz w:val="19"/>
                <w:szCs w:val="19"/>
                <w:b w:val="1"/>
                <w:bCs w:val="1"/>
                <w:color w:val="auto"/>
              </w:rPr>
              <w:t>General Information</w:t>
            </w:r>
          </w:p>
        </w:tc>
        <w:tc>
          <w:tcPr>
            <w:tcW w:w="440" w:type="dxa"/>
            <w:vAlign w:val="bottom"/>
            <w:shd w:val="clear" w:color="auto" w:fill="E5FF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spacing w:after="0" w:line="216" w:lineRule="exact"/>
              <w:rPr>
                <w:sz w:val="20"/>
                <w:szCs w:val="20"/>
                <w:color w:val="auto"/>
              </w:rPr>
            </w:pPr>
            <w:r>
              <w:rPr>
                <w:rFonts w:ascii="Arial" w:cs="Arial" w:eastAsia="Arial" w:hAnsi="Arial"/>
                <w:sz w:val="19"/>
                <w:szCs w:val="19"/>
                <w:b w:val="1"/>
                <w:bCs w:val="1"/>
                <w:color w:val="0000EE"/>
              </w:rPr>
              <w:t>Questions and Answers about this Annual Meeting</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1</w:t>
            </w:r>
          </w:p>
        </w:tc>
      </w:tr>
      <w:tr>
        <w:trPr>
          <w:trHeight w:val="34"/>
        </w:trPr>
        <w:tc>
          <w:tcPr>
            <w:tcW w:w="20" w:type="dxa"/>
            <w:vAlign w:val="bottom"/>
          </w:tcPr>
          <w:p>
            <w:pPr>
              <w:spacing w:after="0"/>
              <w:rPr>
                <w:sz w:val="2"/>
                <w:szCs w:val="2"/>
                <w:color w:val="auto"/>
              </w:rPr>
            </w:pPr>
          </w:p>
        </w:tc>
        <w:tc>
          <w:tcPr>
            <w:tcW w:w="4200" w:type="dxa"/>
            <w:vAlign w:val="bottom"/>
            <w:tcBorders>
              <w:top w:val="single" w:sz="8" w:color="0000EE"/>
            </w:tcBorders>
            <w:gridSpan w:val="44"/>
          </w:tcPr>
          <w:p>
            <w:pPr>
              <w:spacing w:after="0"/>
              <w:rPr>
                <w:sz w:val="2"/>
                <w:szCs w:val="2"/>
                <w:color w:val="auto"/>
              </w:rPr>
            </w:pPr>
          </w:p>
        </w:tc>
        <w:tc>
          <w:tcPr>
            <w:tcW w:w="7200" w:type="dxa"/>
            <w:vAlign w:val="bottom"/>
            <w:gridSpan w:val="12"/>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rFonts w:ascii="Arial" w:cs="Arial" w:eastAsia="Arial" w:hAnsi="Arial"/>
                <w:sz w:val="19"/>
                <w:szCs w:val="19"/>
                <w:color w:val="0000EE"/>
              </w:rPr>
            </w:pPr>
            <w:hyperlink w:anchor="page6">
              <w:r>
                <w:rPr>
                  <w:rFonts w:ascii="Arial" w:cs="Arial" w:eastAsia="Arial" w:hAnsi="Arial"/>
                  <w:sz w:val="19"/>
                  <w:szCs w:val="19"/>
                  <w:color w:val="0000EE"/>
                </w:rPr>
                <w:t>What is included in these proxy materials?</w:t>
              </w:r>
            </w:hyperlink>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1</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3300" w:type="dxa"/>
            <w:vAlign w:val="bottom"/>
            <w:tcBorders>
              <w:top w:val="single" w:sz="8" w:color="0000EE"/>
            </w:tcBorders>
            <w:gridSpan w:val="32"/>
            <w:shd w:val="clear" w:color="auto" w:fill="E5FFFF"/>
          </w:tcPr>
          <w:p>
            <w:pPr>
              <w:spacing w:after="0"/>
              <w:rPr>
                <w:sz w:val="2"/>
                <w:szCs w:val="2"/>
                <w:color w:val="auto"/>
              </w:rPr>
            </w:pPr>
          </w:p>
        </w:tc>
        <w:tc>
          <w:tcPr>
            <w:tcW w:w="7740" w:type="dxa"/>
            <w:vAlign w:val="bottom"/>
            <w:tcBorders>
              <w:top w:val="single" w:sz="8" w:color="E5FFFF"/>
            </w:tcBorders>
            <w:gridSpan w:val="23"/>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sz w:val="20"/>
                <w:szCs w:val="20"/>
                <w:color w:val="auto"/>
              </w:rPr>
            </w:pPr>
            <w:r>
              <w:rPr>
                <w:rFonts w:ascii="Arial" w:cs="Arial" w:eastAsia="Arial" w:hAnsi="Arial"/>
                <w:sz w:val="19"/>
                <w:szCs w:val="19"/>
                <w:color w:val="0000EE"/>
              </w:rPr>
              <w:t>May I obtain an additional copy of the Form 10-K?</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1</w:t>
            </w:r>
          </w:p>
        </w:tc>
      </w:tr>
      <w:tr>
        <w:trPr>
          <w:trHeight w:val="34"/>
        </w:trPr>
        <w:tc>
          <w:tcPr>
            <w:tcW w:w="380" w:type="dxa"/>
            <w:vAlign w:val="bottom"/>
            <w:gridSpan w:val="2"/>
          </w:tcPr>
          <w:p>
            <w:pPr>
              <w:spacing w:after="0"/>
              <w:rPr>
                <w:sz w:val="2"/>
                <w:szCs w:val="2"/>
                <w:color w:val="auto"/>
              </w:rPr>
            </w:pPr>
          </w:p>
        </w:tc>
        <w:tc>
          <w:tcPr>
            <w:tcW w:w="3980" w:type="dxa"/>
            <w:vAlign w:val="bottom"/>
            <w:tcBorders>
              <w:top w:val="single" w:sz="8" w:color="0000EE"/>
            </w:tcBorders>
            <w:gridSpan w:val="45"/>
          </w:tcPr>
          <w:p>
            <w:pPr>
              <w:spacing w:after="0"/>
              <w:rPr>
                <w:sz w:val="2"/>
                <w:szCs w:val="2"/>
                <w:color w:val="auto"/>
              </w:rPr>
            </w:pPr>
          </w:p>
        </w:tc>
        <w:tc>
          <w:tcPr>
            <w:tcW w:w="7060" w:type="dxa"/>
            <w:vAlign w:val="bottom"/>
            <w:gridSpan w:val="10"/>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rFonts w:ascii="Arial" w:cs="Arial" w:eastAsia="Arial" w:hAnsi="Arial"/>
                <w:sz w:val="19"/>
                <w:szCs w:val="19"/>
                <w:color w:val="0000EE"/>
              </w:rPr>
            </w:pPr>
            <w:hyperlink w:anchor="page7">
              <w:r>
                <w:rPr>
                  <w:rFonts w:ascii="Arial" w:cs="Arial" w:eastAsia="Arial" w:hAnsi="Arial"/>
                  <w:sz w:val="19"/>
                  <w:szCs w:val="19"/>
                  <w:color w:val="0000EE"/>
                </w:rPr>
                <w:t>What constitutes a quorum for the Annual Meeting?</w:t>
              </w:r>
            </w:hyperlink>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2</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4040" w:type="dxa"/>
            <w:vAlign w:val="bottom"/>
            <w:tcBorders>
              <w:top w:val="single" w:sz="8" w:color="0000EE"/>
            </w:tcBorders>
            <w:gridSpan w:val="46"/>
            <w:shd w:val="clear" w:color="auto" w:fill="E5FFFF"/>
          </w:tcPr>
          <w:p>
            <w:pPr>
              <w:spacing w:after="0"/>
              <w:rPr>
                <w:sz w:val="2"/>
                <w:szCs w:val="2"/>
                <w:color w:val="auto"/>
              </w:rPr>
            </w:pPr>
          </w:p>
        </w:tc>
        <w:tc>
          <w:tcPr>
            <w:tcW w:w="7000" w:type="dxa"/>
            <w:vAlign w:val="bottom"/>
            <w:tcBorders>
              <w:top w:val="single" w:sz="8" w:color="E5FFFF"/>
            </w:tcBorders>
            <w:gridSpan w:val="9"/>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rFonts w:ascii="Arial" w:cs="Arial" w:eastAsia="Arial" w:hAnsi="Arial"/>
                <w:sz w:val="19"/>
                <w:szCs w:val="19"/>
                <w:color w:val="0000EE"/>
              </w:rPr>
            </w:pPr>
            <w:hyperlink w:anchor="page7">
              <w:r>
                <w:rPr>
                  <w:rFonts w:ascii="Arial" w:cs="Arial" w:eastAsia="Arial" w:hAnsi="Arial"/>
                  <w:sz w:val="19"/>
                  <w:szCs w:val="19"/>
                  <w:color w:val="0000EE"/>
                </w:rPr>
                <w:t>What is the record date for this meeting?</w:t>
              </w:r>
            </w:hyperlink>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2</w:t>
            </w:r>
          </w:p>
        </w:tc>
      </w:tr>
      <w:tr>
        <w:trPr>
          <w:trHeight w:val="34"/>
        </w:trPr>
        <w:tc>
          <w:tcPr>
            <w:tcW w:w="380" w:type="dxa"/>
            <w:vAlign w:val="bottom"/>
            <w:gridSpan w:val="2"/>
          </w:tcPr>
          <w:p>
            <w:pPr>
              <w:spacing w:after="0"/>
              <w:rPr>
                <w:sz w:val="2"/>
                <w:szCs w:val="2"/>
                <w:color w:val="auto"/>
              </w:rPr>
            </w:pPr>
          </w:p>
        </w:tc>
        <w:tc>
          <w:tcPr>
            <w:tcW w:w="3160" w:type="dxa"/>
            <w:vAlign w:val="bottom"/>
            <w:tcBorders>
              <w:top w:val="single" w:sz="8" w:color="0000EE"/>
            </w:tcBorders>
            <w:gridSpan w:val="31"/>
          </w:tcPr>
          <w:p>
            <w:pPr>
              <w:spacing w:after="0"/>
              <w:rPr>
                <w:sz w:val="2"/>
                <w:szCs w:val="2"/>
                <w:color w:val="auto"/>
              </w:rPr>
            </w:pPr>
          </w:p>
        </w:tc>
        <w:tc>
          <w:tcPr>
            <w:tcW w:w="7880" w:type="dxa"/>
            <w:vAlign w:val="bottom"/>
            <w:gridSpan w:val="24"/>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sz w:val="20"/>
                <w:szCs w:val="20"/>
                <w:color w:val="auto"/>
              </w:rPr>
            </w:pPr>
            <w:r>
              <w:rPr>
                <w:rFonts w:ascii="Arial" w:cs="Arial" w:eastAsia="Arial" w:hAnsi="Arial"/>
                <w:sz w:val="19"/>
                <w:szCs w:val="19"/>
                <w:color w:val="0000EE"/>
              </w:rPr>
              <w:t>Do I need a ticket to attend the Annual Meeting?</w:t>
            </w:r>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2</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3780" w:type="dxa"/>
            <w:vAlign w:val="bottom"/>
            <w:tcBorders>
              <w:top w:val="single" w:sz="8" w:color="0000EE"/>
            </w:tcBorders>
            <w:gridSpan w:val="40"/>
            <w:shd w:val="clear" w:color="auto" w:fill="E5FFFF"/>
          </w:tcPr>
          <w:p>
            <w:pPr>
              <w:spacing w:after="0"/>
              <w:rPr>
                <w:sz w:val="2"/>
                <w:szCs w:val="2"/>
                <w:color w:val="auto"/>
              </w:rPr>
            </w:pPr>
          </w:p>
        </w:tc>
        <w:tc>
          <w:tcPr>
            <w:tcW w:w="7260" w:type="dxa"/>
            <w:vAlign w:val="bottom"/>
            <w:tcBorders>
              <w:top w:val="single" w:sz="8" w:color="E5FFFF"/>
            </w:tcBorders>
            <w:gridSpan w:val="15"/>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rFonts w:ascii="Arial" w:cs="Arial" w:eastAsia="Arial" w:hAnsi="Arial"/>
                <w:sz w:val="19"/>
                <w:szCs w:val="19"/>
                <w:color w:val="0000EE"/>
              </w:rPr>
            </w:pPr>
            <w:hyperlink w:anchor="page7">
              <w:r>
                <w:rPr>
                  <w:rFonts w:ascii="Arial" w:cs="Arial" w:eastAsia="Arial" w:hAnsi="Arial"/>
                  <w:sz w:val="19"/>
                  <w:szCs w:val="19"/>
                  <w:color w:val="0000EE"/>
                </w:rPr>
                <w:t>What are shareholders voting on at this meeting?</w:t>
              </w:r>
            </w:hyperlink>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2</w:t>
            </w:r>
          </w:p>
        </w:tc>
      </w:tr>
      <w:tr>
        <w:trPr>
          <w:trHeight w:val="34"/>
        </w:trPr>
        <w:tc>
          <w:tcPr>
            <w:tcW w:w="380" w:type="dxa"/>
            <w:vAlign w:val="bottom"/>
            <w:gridSpan w:val="2"/>
          </w:tcPr>
          <w:p>
            <w:pPr>
              <w:spacing w:after="0"/>
              <w:rPr>
                <w:sz w:val="2"/>
                <w:szCs w:val="2"/>
                <w:color w:val="auto"/>
              </w:rPr>
            </w:pPr>
          </w:p>
        </w:tc>
        <w:tc>
          <w:tcPr>
            <w:tcW w:w="3800" w:type="dxa"/>
            <w:vAlign w:val="bottom"/>
            <w:tcBorders>
              <w:top w:val="single" w:sz="8" w:color="0000EE"/>
            </w:tcBorders>
            <w:gridSpan w:val="41"/>
          </w:tcPr>
          <w:p>
            <w:pPr>
              <w:spacing w:after="0"/>
              <w:rPr>
                <w:sz w:val="2"/>
                <w:szCs w:val="2"/>
                <w:color w:val="auto"/>
              </w:rPr>
            </w:pPr>
          </w:p>
        </w:tc>
        <w:tc>
          <w:tcPr>
            <w:tcW w:w="7240" w:type="dxa"/>
            <w:vAlign w:val="bottom"/>
            <w:gridSpan w:val="14"/>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sz w:val="20"/>
                <w:szCs w:val="20"/>
                <w:color w:val="auto"/>
              </w:rPr>
            </w:pPr>
            <w:r>
              <w:rPr>
                <w:rFonts w:ascii="Arial" w:cs="Arial" w:eastAsia="Arial" w:hAnsi="Arial"/>
                <w:sz w:val="19"/>
                <w:szCs w:val="19"/>
                <w:color w:val="0000EE"/>
              </w:rPr>
              <w:t>How does the Board of Directors recommend that I vote on the proposals?</w:t>
            </w:r>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2</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5780" w:type="dxa"/>
            <w:vAlign w:val="bottom"/>
            <w:tcBorders>
              <w:top w:val="single" w:sz="8" w:color="0000EE"/>
            </w:tcBorders>
            <w:gridSpan w:val="52"/>
            <w:shd w:val="clear" w:color="auto" w:fill="E5FFFF"/>
          </w:tcPr>
          <w:p>
            <w:pPr>
              <w:spacing w:after="0"/>
              <w:rPr>
                <w:sz w:val="2"/>
                <w:szCs w:val="2"/>
                <w:color w:val="auto"/>
              </w:rPr>
            </w:pPr>
          </w:p>
        </w:tc>
        <w:tc>
          <w:tcPr>
            <w:tcW w:w="5260" w:type="dxa"/>
            <w:vAlign w:val="bottom"/>
            <w:tcBorders>
              <w:top w:val="single" w:sz="8" w:color="E5FFFF"/>
            </w:tcBorders>
            <w:gridSpan w:val="3"/>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sz w:val="20"/>
                <w:szCs w:val="20"/>
                <w:color w:val="auto"/>
              </w:rPr>
            </w:pPr>
            <w:r>
              <w:rPr>
                <w:rFonts w:ascii="Arial" w:cs="Arial" w:eastAsia="Arial" w:hAnsi="Arial"/>
                <w:sz w:val="19"/>
                <w:szCs w:val="19"/>
                <w:color w:val="0000EE"/>
              </w:rPr>
              <w:t>Could other matters be voted on at the meeting?</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2</w:t>
            </w:r>
          </w:p>
        </w:tc>
      </w:tr>
      <w:tr>
        <w:trPr>
          <w:trHeight w:val="34"/>
        </w:trPr>
        <w:tc>
          <w:tcPr>
            <w:tcW w:w="380" w:type="dxa"/>
            <w:vAlign w:val="bottom"/>
            <w:gridSpan w:val="2"/>
          </w:tcPr>
          <w:p>
            <w:pPr>
              <w:spacing w:after="0"/>
              <w:rPr>
                <w:sz w:val="2"/>
                <w:szCs w:val="2"/>
                <w:color w:val="auto"/>
              </w:rPr>
            </w:pPr>
          </w:p>
        </w:tc>
        <w:tc>
          <w:tcPr>
            <w:tcW w:w="3720" w:type="dxa"/>
            <w:vAlign w:val="bottom"/>
            <w:tcBorders>
              <w:top w:val="single" w:sz="8" w:color="0000EE"/>
            </w:tcBorders>
            <w:gridSpan w:val="39"/>
          </w:tcPr>
          <w:p>
            <w:pPr>
              <w:spacing w:after="0"/>
              <w:rPr>
                <w:sz w:val="2"/>
                <w:szCs w:val="2"/>
                <w:color w:val="auto"/>
              </w:rPr>
            </w:pPr>
          </w:p>
        </w:tc>
        <w:tc>
          <w:tcPr>
            <w:tcW w:w="7320" w:type="dxa"/>
            <w:vAlign w:val="bottom"/>
            <w:gridSpan w:val="16"/>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rFonts w:ascii="Arial" w:cs="Arial" w:eastAsia="Arial" w:hAnsi="Arial"/>
                <w:sz w:val="19"/>
                <w:szCs w:val="19"/>
                <w:color w:val="0000EE"/>
              </w:rPr>
            </w:pPr>
            <w:hyperlink w:anchor="page9">
              <w:r>
                <w:rPr>
                  <w:rFonts w:ascii="Arial" w:cs="Arial" w:eastAsia="Arial" w:hAnsi="Arial"/>
                  <w:sz w:val="19"/>
                  <w:szCs w:val="19"/>
                  <w:color w:val="0000EE"/>
                </w:rPr>
                <w:t>Who may vote at the Annual Meeting?</w:t>
              </w:r>
            </w:hyperlink>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2</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3020" w:type="dxa"/>
            <w:vAlign w:val="bottom"/>
            <w:tcBorders>
              <w:top w:val="single" w:sz="8" w:color="0000EE"/>
            </w:tcBorders>
            <w:gridSpan w:val="29"/>
            <w:shd w:val="clear" w:color="auto" w:fill="E5FFFF"/>
          </w:tcPr>
          <w:p>
            <w:pPr>
              <w:spacing w:after="0"/>
              <w:rPr>
                <w:sz w:val="2"/>
                <w:szCs w:val="2"/>
                <w:color w:val="auto"/>
              </w:rPr>
            </w:pPr>
          </w:p>
        </w:tc>
        <w:tc>
          <w:tcPr>
            <w:tcW w:w="8020" w:type="dxa"/>
            <w:vAlign w:val="bottom"/>
            <w:tcBorders>
              <w:top w:val="single" w:sz="8" w:color="E5FFFF"/>
            </w:tcBorders>
            <w:gridSpan w:val="26"/>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rFonts w:ascii="Arial" w:cs="Arial" w:eastAsia="Arial" w:hAnsi="Arial"/>
                <w:sz w:val="19"/>
                <w:szCs w:val="19"/>
                <w:color w:val="0000EE"/>
              </w:rPr>
            </w:pPr>
            <w:hyperlink w:anchor="page8">
              <w:r>
                <w:rPr>
                  <w:rFonts w:ascii="Arial" w:cs="Arial" w:eastAsia="Arial" w:hAnsi="Arial"/>
                  <w:sz w:val="19"/>
                  <w:szCs w:val="19"/>
                  <w:color w:val="0000EE"/>
                </w:rPr>
                <w:t>What are the voting requirements to elect directors and approve the other proposals?</w:t>
              </w:r>
            </w:hyperlink>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3</w:t>
            </w:r>
          </w:p>
        </w:tc>
      </w:tr>
      <w:tr>
        <w:trPr>
          <w:trHeight w:val="34"/>
        </w:trPr>
        <w:tc>
          <w:tcPr>
            <w:tcW w:w="380" w:type="dxa"/>
            <w:vAlign w:val="bottom"/>
            <w:gridSpan w:val="2"/>
          </w:tcPr>
          <w:p>
            <w:pPr>
              <w:spacing w:after="0"/>
              <w:rPr>
                <w:sz w:val="2"/>
                <w:szCs w:val="2"/>
                <w:color w:val="auto"/>
              </w:rPr>
            </w:pPr>
          </w:p>
        </w:tc>
        <w:tc>
          <w:tcPr>
            <w:tcW w:w="6540" w:type="dxa"/>
            <w:vAlign w:val="bottom"/>
            <w:tcBorders>
              <w:top w:val="single" w:sz="8" w:color="0000EE"/>
            </w:tcBorders>
            <w:gridSpan w:val="53"/>
          </w:tcPr>
          <w:p>
            <w:pPr>
              <w:spacing w:after="0"/>
              <w:rPr>
                <w:sz w:val="2"/>
                <w:szCs w:val="2"/>
                <w:color w:val="auto"/>
              </w:rPr>
            </w:pPr>
          </w:p>
        </w:tc>
        <w:tc>
          <w:tcPr>
            <w:tcW w:w="4500" w:type="dxa"/>
            <w:vAlign w:val="bottom"/>
            <w:gridSpan w:val="2"/>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sz w:val="20"/>
                <w:szCs w:val="20"/>
                <w:color w:val="auto"/>
              </w:rPr>
            </w:pPr>
            <w:r>
              <w:rPr>
                <w:rFonts w:ascii="Arial" w:cs="Arial" w:eastAsia="Arial" w:hAnsi="Arial"/>
                <w:sz w:val="19"/>
                <w:szCs w:val="19"/>
                <w:color w:val="0000EE"/>
              </w:rPr>
              <w:t>How will the votes be counted?</w:t>
            </w:r>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3</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2440" w:type="dxa"/>
            <w:vAlign w:val="bottom"/>
            <w:tcBorders>
              <w:top w:val="single" w:sz="8" w:color="0000EE"/>
            </w:tcBorders>
            <w:gridSpan w:val="20"/>
            <w:shd w:val="clear" w:color="auto" w:fill="E5FFFF"/>
          </w:tcPr>
          <w:p>
            <w:pPr>
              <w:spacing w:after="0"/>
              <w:rPr>
                <w:sz w:val="2"/>
                <w:szCs w:val="2"/>
                <w:color w:val="auto"/>
              </w:rPr>
            </w:pPr>
          </w:p>
        </w:tc>
        <w:tc>
          <w:tcPr>
            <w:tcW w:w="8600" w:type="dxa"/>
            <w:vAlign w:val="bottom"/>
            <w:tcBorders>
              <w:top w:val="single" w:sz="8" w:color="E5FFFF"/>
            </w:tcBorders>
            <w:gridSpan w:val="35"/>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sz w:val="20"/>
                <w:szCs w:val="20"/>
                <w:color w:val="auto"/>
              </w:rPr>
            </w:pPr>
            <w:r>
              <w:rPr>
                <w:rFonts w:ascii="Arial" w:cs="Arial" w:eastAsia="Arial" w:hAnsi="Arial"/>
                <w:sz w:val="19"/>
                <w:szCs w:val="19"/>
                <w:color w:val="0000EE"/>
              </w:rPr>
              <w:t>Will my vote be confidential?</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3</w:t>
            </w:r>
          </w:p>
        </w:tc>
      </w:tr>
      <w:tr>
        <w:trPr>
          <w:trHeight w:val="34"/>
        </w:trPr>
        <w:tc>
          <w:tcPr>
            <w:tcW w:w="380" w:type="dxa"/>
            <w:vAlign w:val="bottom"/>
            <w:gridSpan w:val="2"/>
          </w:tcPr>
          <w:p>
            <w:pPr>
              <w:spacing w:after="0"/>
              <w:rPr>
                <w:sz w:val="2"/>
                <w:szCs w:val="2"/>
                <w:color w:val="auto"/>
              </w:rPr>
            </w:pPr>
          </w:p>
        </w:tc>
        <w:tc>
          <w:tcPr>
            <w:tcW w:w="2300" w:type="dxa"/>
            <w:vAlign w:val="bottom"/>
            <w:tcBorders>
              <w:top w:val="single" w:sz="8" w:color="0000EE"/>
            </w:tcBorders>
            <w:gridSpan w:val="16"/>
          </w:tcPr>
          <w:p>
            <w:pPr>
              <w:spacing w:after="0"/>
              <w:rPr>
                <w:sz w:val="2"/>
                <w:szCs w:val="2"/>
                <w:color w:val="auto"/>
              </w:rPr>
            </w:pPr>
          </w:p>
        </w:tc>
        <w:tc>
          <w:tcPr>
            <w:tcW w:w="8740" w:type="dxa"/>
            <w:vAlign w:val="bottom"/>
            <w:gridSpan w:val="39"/>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sz w:val="20"/>
                <w:szCs w:val="20"/>
                <w:color w:val="auto"/>
              </w:rPr>
            </w:pPr>
            <w:r>
              <w:rPr>
                <w:rFonts w:ascii="Arial" w:cs="Arial" w:eastAsia="Arial" w:hAnsi="Arial"/>
                <w:sz w:val="19"/>
                <w:szCs w:val="19"/>
                <w:color w:val="0000EE"/>
              </w:rPr>
              <w:t>How do I vote my shares?</w:t>
            </w:r>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3</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2020" w:type="dxa"/>
            <w:vAlign w:val="bottom"/>
            <w:tcBorders>
              <w:top w:val="single" w:sz="8" w:color="0000EE"/>
            </w:tcBorders>
            <w:gridSpan w:val="11"/>
            <w:shd w:val="clear" w:color="auto" w:fill="E5FFFF"/>
          </w:tcPr>
          <w:p>
            <w:pPr>
              <w:spacing w:after="0"/>
              <w:rPr>
                <w:sz w:val="2"/>
                <w:szCs w:val="2"/>
                <w:color w:val="auto"/>
              </w:rPr>
            </w:pPr>
          </w:p>
        </w:tc>
        <w:tc>
          <w:tcPr>
            <w:tcW w:w="9020" w:type="dxa"/>
            <w:vAlign w:val="bottom"/>
            <w:tcBorders>
              <w:top w:val="single" w:sz="8" w:color="E5FFFF"/>
            </w:tcBorders>
            <w:gridSpan w:val="44"/>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sz w:val="20"/>
                <w:szCs w:val="20"/>
                <w:color w:val="auto"/>
              </w:rPr>
            </w:pPr>
            <w:r>
              <w:rPr>
                <w:rFonts w:ascii="Arial" w:cs="Arial" w:eastAsia="Arial" w:hAnsi="Arial"/>
                <w:sz w:val="19"/>
                <w:szCs w:val="19"/>
                <w:color w:val="0000EE"/>
              </w:rPr>
              <w:t>Can I change my mind after voting my shares?</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4</w:t>
            </w:r>
          </w:p>
        </w:tc>
      </w:tr>
      <w:tr>
        <w:trPr>
          <w:trHeight w:val="34"/>
        </w:trPr>
        <w:tc>
          <w:tcPr>
            <w:tcW w:w="380" w:type="dxa"/>
            <w:vAlign w:val="bottom"/>
            <w:gridSpan w:val="2"/>
          </w:tcPr>
          <w:p>
            <w:pPr>
              <w:spacing w:after="0"/>
              <w:rPr>
                <w:sz w:val="2"/>
                <w:szCs w:val="2"/>
                <w:color w:val="auto"/>
              </w:rPr>
            </w:pPr>
          </w:p>
        </w:tc>
        <w:tc>
          <w:tcPr>
            <w:tcW w:w="3620" w:type="dxa"/>
            <w:vAlign w:val="bottom"/>
            <w:tcBorders>
              <w:top w:val="single" w:sz="8" w:color="0000EE"/>
            </w:tcBorders>
            <w:gridSpan w:val="37"/>
          </w:tcPr>
          <w:p>
            <w:pPr>
              <w:spacing w:after="0"/>
              <w:rPr>
                <w:sz w:val="2"/>
                <w:szCs w:val="2"/>
                <w:color w:val="auto"/>
              </w:rPr>
            </w:pPr>
          </w:p>
        </w:tc>
        <w:tc>
          <w:tcPr>
            <w:tcW w:w="7420" w:type="dxa"/>
            <w:vAlign w:val="bottom"/>
            <w:gridSpan w:val="18"/>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sz w:val="20"/>
                <w:szCs w:val="20"/>
                <w:color w:val="auto"/>
              </w:rPr>
            </w:pPr>
            <w:r>
              <w:rPr>
                <w:rFonts w:ascii="Arial" w:cs="Arial" w:eastAsia="Arial" w:hAnsi="Arial"/>
                <w:sz w:val="19"/>
                <w:szCs w:val="19"/>
                <w:color w:val="0000EE"/>
              </w:rPr>
              <w:t>Are shares held in employee plans included on the proxy card?</w:t>
            </w:r>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4</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4880" w:type="dxa"/>
            <w:vAlign w:val="bottom"/>
            <w:tcBorders>
              <w:top w:val="single" w:sz="8" w:color="0000EE"/>
            </w:tcBorders>
            <w:gridSpan w:val="50"/>
            <w:shd w:val="clear" w:color="auto" w:fill="E5FFFF"/>
          </w:tcPr>
          <w:p>
            <w:pPr>
              <w:spacing w:after="0"/>
              <w:rPr>
                <w:sz w:val="2"/>
                <w:szCs w:val="2"/>
                <w:color w:val="auto"/>
              </w:rPr>
            </w:pPr>
          </w:p>
        </w:tc>
        <w:tc>
          <w:tcPr>
            <w:tcW w:w="6160" w:type="dxa"/>
            <w:vAlign w:val="bottom"/>
            <w:tcBorders>
              <w:top w:val="single" w:sz="8" w:color="E5FFFF"/>
            </w:tcBorders>
            <w:gridSpan w:val="5"/>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sz w:val="20"/>
                <w:szCs w:val="20"/>
                <w:color w:val="auto"/>
              </w:rPr>
            </w:pPr>
            <w:r>
              <w:rPr>
                <w:rFonts w:ascii="Arial" w:cs="Arial" w:eastAsia="Arial" w:hAnsi="Arial"/>
                <w:sz w:val="19"/>
                <w:szCs w:val="19"/>
                <w:color w:val="0000EE"/>
              </w:rPr>
              <w:t>Who pays the cost of this proxy solicitation?</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4</w:t>
            </w:r>
          </w:p>
        </w:tc>
      </w:tr>
      <w:tr>
        <w:trPr>
          <w:trHeight w:val="34"/>
        </w:trPr>
        <w:tc>
          <w:tcPr>
            <w:tcW w:w="380" w:type="dxa"/>
            <w:vAlign w:val="bottom"/>
            <w:gridSpan w:val="2"/>
          </w:tcPr>
          <w:p>
            <w:pPr>
              <w:spacing w:after="0"/>
              <w:rPr>
                <w:sz w:val="2"/>
                <w:szCs w:val="2"/>
                <w:color w:val="auto"/>
              </w:rPr>
            </w:pPr>
          </w:p>
        </w:tc>
        <w:tc>
          <w:tcPr>
            <w:tcW w:w="3460" w:type="dxa"/>
            <w:vAlign w:val="bottom"/>
            <w:tcBorders>
              <w:top w:val="single" w:sz="8" w:color="0000EE"/>
            </w:tcBorders>
            <w:gridSpan w:val="35"/>
          </w:tcPr>
          <w:p>
            <w:pPr>
              <w:spacing w:after="0"/>
              <w:rPr>
                <w:sz w:val="2"/>
                <w:szCs w:val="2"/>
                <w:color w:val="auto"/>
              </w:rPr>
            </w:pPr>
          </w:p>
        </w:tc>
        <w:tc>
          <w:tcPr>
            <w:tcW w:w="7580" w:type="dxa"/>
            <w:vAlign w:val="bottom"/>
            <w:gridSpan w:val="20"/>
          </w:tcPr>
          <w:p>
            <w:pPr>
              <w:spacing w:after="0"/>
              <w:rPr>
                <w:sz w:val="2"/>
                <w:szCs w:val="2"/>
                <w:color w:val="auto"/>
              </w:rPr>
            </w:pPr>
          </w:p>
        </w:tc>
      </w:tr>
      <w:tr>
        <w:trPr>
          <w:trHeight w:val="250"/>
        </w:trPr>
        <w:tc>
          <w:tcPr>
            <w:tcW w:w="20" w:type="dxa"/>
            <w:vAlign w:val="bottom"/>
            <w:shd w:val="clear" w:color="auto" w:fill="E5FFFF"/>
          </w:tcPr>
          <w:p>
            <w:pPr>
              <w:spacing w:after="0"/>
              <w:rPr>
                <w:sz w:val="21"/>
                <w:szCs w:val="21"/>
                <w:color w:val="auto"/>
              </w:rPr>
            </w:pPr>
          </w:p>
        </w:tc>
        <w:tc>
          <w:tcPr>
            <w:tcW w:w="10960" w:type="dxa"/>
            <w:vAlign w:val="bottom"/>
            <w:gridSpan w:val="55"/>
            <w:shd w:val="clear" w:color="auto" w:fill="E5FFFF"/>
          </w:tcPr>
          <w:p>
            <w:pPr>
              <w:spacing w:after="0" w:line="216" w:lineRule="exact"/>
              <w:rPr>
                <w:sz w:val="20"/>
                <w:szCs w:val="20"/>
                <w:color w:val="auto"/>
              </w:rPr>
            </w:pPr>
            <w:r>
              <w:rPr>
                <w:rFonts w:ascii="Arial" w:cs="Arial" w:eastAsia="Arial" w:hAnsi="Arial"/>
                <w:sz w:val="19"/>
                <w:szCs w:val="19"/>
                <w:b w:val="1"/>
                <w:bCs w:val="1"/>
                <w:color w:val="0000EE"/>
              </w:rPr>
              <w:t>Beneficial Ownership of the Company’s Stock</w:t>
            </w:r>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5</w:t>
            </w:r>
          </w:p>
        </w:tc>
      </w:tr>
      <w:tr>
        <w:trPr>
          <w:trHeight w:val="216"/>
        </w:trPr>
        <w:tc>
          <w:tcPr>
            <w:tcW w:w="20" w:type="dxa"/>
            <w:vAlign w:val="bottom"/>
            <w:tcBorders>
              <w:top w:val="single" w:sz="8" w:color="E5FFFF"/>
            </w:tcBorders>
          </w:tcPr>
          <w:p>
            <w:pPr>
              <w:spacing w:after="0"/>
              <w:rPr>
                <w:sz w:val="18"/>
                <w:szCs w:val="18"/>
                <w:color w:val="auto"/>
              </w:rPr>
            </w:pPr>
          </w:p>
        </w:tc>
        <w:tc>
          <w:tcPr>
            <w:tcW w:w="3800" w:type="dxa"/>
            <w:vAlign w:val="bottom"/>
            <w:tcBorders>
              <w:top w:val="single" w:sz="8" w:color="0000EE"/>
            </w:tcBorders>
            <w:gridSpan w:val="35"/>
          </w:tcPr>
          <w:p>
            <w:pPr>
              <w:ind w:left="360"/>
              <w:spacing w:after="0" w:line="216" w:lineRule="exact"/>
              <w:rPr>
                <w:sz w:val="20"/>
                <w:szCs w:val="20"/>
                <w:color w:val="auto"/>
              </w:rPr>
            </w:pPr>
            <w:r>
              <w:rPr>
                <w:rFonts w:ascii="Arial" w:cs="Arial" w:eastAsia="Arial" w:hAnsi="Arial"/>
                <w:sz w:val="19"/>
                <w:szCs w:val="19"/>
                <w:color w:val="0000EE"/>
              </w:rPr>
              <w:t>Directors and Executive Officers</w:t>
            </w:r>
          </w:p>
        </w:tc>
        <w:tc>
          <w:tcPr>
            <w:tcW w:w="7160" w:type="dxa"/>
            <w:vAlign w:val="bottom"/>
            <w:tcBorders>
              <w:top w:val="single" w:sz="8" w:color="E5FFFF"/>
            </w:tcBorders>
            <w:gridSpan w:val="20"/>
          </w:tcPr>
          <w:p>
            <w:pPr>
              <w:spacing w:after="0"/>
              <w:rPr>
                <w:sz w:val="18"/>
                <w:szCs w:val="18"/>
                <w:color w:val="auto"/>
              </w:rPr>
            </w:pPr>
          </w:p>
        </w:tc>
        <w:tc>
          <w:tcPr>
            <w:tcW w:w="440" w:type="dxa"/>
            <w:vAlign w:val="bottom"/>
            <w:tcBorders>
              <w:top w:val="single" w:sz="8" w:color="E5FFFF"/>
            </w:tcBorders>
          </w:tcPr>
          <w:p>
            <w:pPr>
              <w:jc w:val="right"/>
              <w:ind w:right="3"/>
              <w:spacing w:after="0" w:line="216" w:lineRule="exact"/>
              <w:rPr>
                <w:sz w:val="20"/>
                <w:szCs w:val="20"/>
                <w:color w:val="auto"/>
              </w:rPr>
            </w:pPr>
            <w:r>
              <w:rPr>
                <w:rFonts w:ascii="Arial" w:cs="Arial" w:eastAsia="Arial" w:hAnsi="Arial"/>
                <w:sz w:val="19"/>
                <w:szCs w:val="19"/>
                <w:color w:val="auto"/>
              </w:rPr>
              <w:t>5</w:t>
            </w:r>
          </w:p>
        </w:tc>
      </w:tr>
      <w:tr>
        <w:trPr>
          <w:trHeight w:val="34"/>
        </w:trPr>
        <w:tc>
          <w:tcPr>
            <w:tcW w:w="380" w:type="dxa"/>
            <w:vAlign w:val="bottom"/>
            <w:gridSpan w:val="2"/>
          </w:tcPr>
          <w:p>
            <w:pPr>
              <w:spacing w:after="0"/>
              <w:rPr>
                <w:sz w:val="2"/>
                <w:szCs w:val="2"/>
                <w:color w:val="auto"/>
              </w:rPr>
            </w:pPr>
          </w:p>
        </w:tc>
        <w:tc>
          <w:tcPr>
            <w:tcW w:w="2560" w:type="dxa"/>
            <w:vAlign w:val="bottom"/>
            <w:tcBorders>
              <w:top w:val="single" w:sz="8" w:color="0000EE"/>
            </w:tcBorders>
            <w:gridSpan w:val="22"/>
          </w:tcPr>
          <w:p>
            <w:pPr>
              <w:spacing w:after="0"/>
              <w:rPr>
                <w:sz w:val="2"/>
                <w:szCs w:val="2"/>
                <w:color w:val="auto"/>
              </w:rPr>
            </w:pPr>
          </w:p>
        </w:tc>
        <w:tc>
          <w:tcPr>
            <w:tcW w:w="8480" w:type="dxa"/>
            <w:vAlign w:val="bottom"/>
            <w:gridSpan w:val="33"/>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sz w:val="20"/>
                <w:szCs w:val="20"/>
                <w:color w:val="auto"/>
              </w:rPr>
            </w:pPr>
            <w:r>
              <w:rPr>
                <w:rFonts w:ascii="Arial" w:cs="Arial" w:eastAsia="Arial" w:hAnsi="Arial"/>
                <w:sz w:val="19"/>
                <w:szCs w:val="19"/>
                <w:color w:val="0000EE"/>
              </w:rPr>
              <w:t>Persons Owning More than Five Percent of the Company’s Stock</w:t>
            </w:r>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6</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5060" w:type="dxa"/>
            <w:vAlign w:val="bottom"/>
            <w:tcBorders>
              <w:top w:val="single" w:sz="8" w:color="0000EE"/>
            </w:tcBorders>
            <w:gridSpan w:val="51"/>
            <w:shd w:val="clear" w:color="auto" w:fill="E5FFFF"/>
          </w:tcPr>
          <w:p>
            <w:pPr>
              <w:spacing w:after="0"/>
              <w:rPr>
                <w:sz w:val="2"/>
                <w:szCs w:val="2"/>
                <w:color w:val="auto"/>
              </w:rPr>
            </w:pPr>
          </w:p>
        </w:tc>
        <w:tc>
          <w:tcPr>
            <w:tcW w:w="5980" w:type="dxa"/>
            <w:vAlign w:val="bottom"/>
            <w:tcBorders>
              <w:top w:val="single" w:sz="8" w:color="E5FFFF"/>
            </w:tcBorders>
            <w:gridSpan w:val="4"/>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sz w:val="20"/>
                <w:szCs w:val="20"/>
                <w:color w:val="auto"/>
              </w:rPr>
            </w:pPr>
            <w:r>
              <w:rPr>
                <w:rFonts w:ascii="Arial" w:cs="Arial" w:eastAsia="Arial" w:hAnsi="Arial"/>
                <w:sz w:val="19"/>
                <w:szCs w:val="19"/>
                <w:color w:val="0000EE"/>
              </w:rPr>
              <w:t>Section 16(a) Beneficial Ownership Reporting Compliance</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7</w:t>
            </w:r>
          </w:p>
        </w:tc>
      </w:tr>
      <w:tr>
        <w:trPr>
          <w:trHeight w:val="34"/>
        </w:trPr>
        <w:tc>
          <w:tcPr>
            <w:tcW w:w="380" w:type="dxa"/>
            <w:vAlign w:val="bottom"/>
            <w:gridSpan w:val="2"/>
          </w:tcPr>
          <w:p>
            <w:pPr>
              <w:spacing w:after="0"/>
              <w:rPr>
                <w:sz w:val="2"/>
                <w:szCs w:val="2"/>
                <w:color w:val="auto"/>
              </w:rPr>
            </w:pPr>
          </w:p>
        </w:tc>
        <w:tc>
          <w:tcPr>
            <w:tcW w:w="4600" w:type="dxa"/>
            <w:vAlign w:val="bottom"/>
            <w:tcBorders>
              <w:top w:val="single" w:sz="8" w:color="0000EE"/>
            </w:tcBorders>
            <w:gridSpan w:val="48"/>
          </w:tcPr>
          <w:p>
            <w:pPr>
              <w:spacing w:after="0"/>
              <w:rPr>
                <w:sz w:val="2"/>
                <w:szCs w:val="2"/>
                <w:color w:val="auto"/>
              </w:rPr>
            </w:pPr>
          </w:p>
        </w:tc>
        <w:tc>
          <w:tcPr>
            <w:tcW w:w="6440" w:type="dxa"/>
            <w:vAlign w:val="bottom"/>
            <w:gridSpan w:val="7"/>
          </w:tcPr>
          <w:p>
            <w:pPr>
              <w:spacing w:after="0"/>
              <w:rPr>
                <w:sz w:val="2"/>
                <w:szCs w:val="2"/>
                <w:color w:val="auto"/>
              </w:rPr>
            </w:pPr>
          </w:p>
        </w:tc>
      </w:tr>
      <w:tr>
        <w:trPr>
          <w:trHeight w:val="250"/>
        </w:trPr>
        <w:tc>
          <w:tcPr>
            <w:tcW w:w="20" w:type="dxa"/>
            <w:vAlign w:val="bottom"/>
            <w:tcBorders>
              <w:bottom w:val="single" w:sz="8" w:color="E5FFFF"/>
            </w:tcBorders>
            <w:shd w:val="clear" w:color="auto" w:fill="E5FFFF"/>
          </w:tcPr>
          <w:p>
            <w:pPr>
              <w:spacing w:after="0"/>
              <w:rPr>
                <w:sz w:val="21"/>
                <w:szCs w:val="21"/>
                <w:color w:val="auto"/>
              </w:rPr>
            </w:pPr>
          </w:p>
        </w:tc>
        <w:tc>
          <w:tcPr>
            <w:tcW w:w="2980" w:type="dxa"/>
            <w:vAlign w:val="bottom"/>
            <w:tcBorders>
              <w:bottom w:val="single" w:sz="8" w:color="0000EE"/>
            </w:tcBorders>
            <w:gridSpan w:val="25"/>
            <w:shd w:val="clear" w:color="auto" w:fill="E5FFFF"/>
          </w:tcPr>
          <w:p>
            <w:pPr>
              <w:spacing w:after="0" w:line="216" w:lineRule="exact"/>
              <w:rPr>
                <w:rFonts w:ascii="Arial" w:cs="Arial" w:eastAsia="Arial" w:hAnsi="Arial"/>
                <w:sz w:val="19"/>
                <w:szCs w:val="19"/>
                <w:b w:val="1"/>
                <w:bCs w:val="1"/>
                <w:color w:val="0000EE"/>
                <w:w w:val="93"/>
              </w:rPr>
            </w:pPr>
            <w:hyperlink w:anchor="page12">
              <w:r>
                <w:rPr>
                  <w:rFonts w:ascii="Arial" w:cs="Arial" w:eastAsia="Arial" w:hAnsi="Arial"/>
                  <w:sz w:val="19"/>
                  <w:szCs w:val="19"/>
                  <w:b w:val="1"/>
                  <w:bCs w:val="1"/>
                  <w:color w:val="0000EE"/>
                  <w:w w:val="93"/>
                </w:rPr>
                <w:t>Corporate Governance Information</w:t>
              </w:r>
            </w:hyperlink>
          </w:p>
        </w:tc>
        <w:tc>
          <w:tcPr>
            <w:tcW w:w="7980" w:type="dxa"/>
            <w:vAlign w:val="bottom"/>
            <w:tcBorders>
              <w:bottom w:val="single" w:sz="8" w:color="E5FFFF"/>
            </w:tcBorders>
            <w:gridSpan w:val="30"/>
            <w:shd w:val="clear" w:color="auto" w:fill="E5FFFF"/>
          </w:tcPr>
          <w:p>
            <w:pPr>
              <w:spacing w:after="0"/>
              <w:rPr>
                <w:sz w:val="21"/>
                <w:szCs w:val="21"/>
                <w:color w:val="auto"/>
              </w:rPr>
            </w:pPr>
          </w:p>
        </w:tc>
        <w:tc>
          <w:tcPr>
            <w:tcW w:w="440" w:type="dxa"/>
            <w:vAlign w:val="bottom"/>
            <w:tcBorders>
              <w:bottom w:val="single" w:sz="8" w:color="E5FFFF"/>
            </w:tcBorders>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7</w:t>
            </w: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rFonts w:ascii="Arial" w:cs="Arial" w:eastAsia="Arial" w:hAnsi="Arial"/>
                <w:sz w:val="19"/>
                <w:szCs w:val="19"/>
                <w:color w:val="0000EE"/>
              </w:rPr>
            </w:pPr>
            <w:hyperlink w:anchor="page12">
              <w:r>
                <w:rPr>
                  <w:rFonts w:ascii="Arial" w:cs="Arial" w:eastAsia="Arial" w:hAnsi="Arial"/>
                  <w:sz w:val="19"/>
                  <w:szCs w:val="19"/>
                  <w:color w:val="0000EE"/>
                </w:rPr>
                <w:t>Corporate Governance Guidelines</w:t>
              </w:r>
            </w:hyperlink>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7</w:t>
            </w:r>
          </w:p>
        </w:tc>
      </w:tr>
      <w:tr>
        <w:trPr>
          <w:trHeight w:val="34"/>
        </w:trPr>
        <w:tc>
          <w:tcPr>
            <w:tcW w:w="380" w:type="dxa"/>
            <w:vAlign w:val="bottom"/>
            <w:gridSpan w:val="2"/>
          </w:tcPr>
          <w:p>
            <w:pPr>
              <w:spacing w:after="0"/>
              <w:rPr>
                <w:sz w:val="2"/>
                <w:szCs w:val="2"/>
                <w:color w:val="auto"/>
              </w:rPr>
            </w:pPr>
          </w:p>
        </w:tc>
        <w:tc>
          <w:tcPr>
            <w:tcW w:w="2640" w:type="dxa"/>
            <w:vAlign w:val="bottom"/>
            <w:tcBorders>
              <w:top w:val="single" w:sz="8" w:color="0000EE"/>
            </w:tcBorders>
            <w:gridSpan w:val="25"/>
          </w:tcPr>
          <w:p>
            <w:pPr>
              <w:spacing w:after="0"/>
              <w:rPr>
                <w:sz w:val="2"/>
                <w:szCs w:val="2"/>
                <w:color w:val="auto"/>
              </w:rPr>
            </w:pPr>
          </w:p>
        </w:tc>
        <w:tc>
          <w:tcPr>
            <w:tcW w:w="8400" w:type="dxa"/>
            <w:vAlign w:val="bottom"/>
            <w:gridSpan w:val="30"/>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rFonts w:ascii="Arial" w:cs="Arial" w:eastAsia="Arial" w:hAnsi="Arial"/>
                <w:sz w:val="19"/>
                <w:szCs w:val="19"/>
                <w:color w:val="0000EE"/>
              </w:rPr>
            </w:pPr>
            <w:hyperlink w:anchor="page12">
              <w:r>
                <w:rPr>
                  <w:rFonts w:ascii="Arial" w:cs="Arial" w:eastAsia="Arial" w:hAnsi="Arial"/>
                  <w:sz w:val="19"/>
                  <w:szCs w:val="19"/>
                  <w:color w:val="0000EE"/>
                </w:rPr>
                <w:t>Policy on Voting for Directors</w:t>
              </w:r>
            </w:hyperlink>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7</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2340" w:type="dxa"/>
            <w:vAlign w:val="bottom"/>
            <w:tcBorders>
              <w:top w:val="single" w:sz="8" w:color="0000EE"/>
            </w:tcBorders>
            <w:gridSpan w:val="17"/>
            <w:shd w:val="clear" w:color="auto" w:fill="E5FFFF"/>
          </w:tcPr>
          <w:p>
            <w:pPr>
              <w:spacing w:after="0"/>
              <w:rPr>
                <w:sz w:val="2"/>
                <w:szCs w:val="2"/>
                <w:color w:val="auto"/>
              </w:rPr>
            </w:pPr>
          </w:p>
        </w:tc>
        <w:tc>
          <w:tcPr>
            <w:tcW w:w="8700" w:type="dxa"/>
            <w:vAlign w:val="bottom"/>
            <w:tcBorders>
              <w:top w:val="single" w:sz="8" w:color="E5FFFF"/>
            </w:tcBorders>
            <w:gridSpan w:val="38"/>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sz w:val="20"/>
                <w:szCs w:val="20"/>
                <w:color w:val="auto"/>
              </w:rPr>
            </w:pPr>
            <w:r>
              <w:rPr>
                <w:rFonts w:ascii="Arial" w:cs="Arial" w:eastAsia="Arial" w:hAnsi="Arial"/>
                <w:sz w:val="19"/>
                <w:szCs w:val="19"/>
                <w:color w:val="0000EE"/>
              </w:rPr>
              <w:t>Stock Ownership Guidelines</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7</w:t>
            </w:r>
          </w:p>
        </w:tc>
      </w:tr>
      <w:tr>
        <w:trPr>
          <w:trHeight w:val="34"/>
        </w:trPr>
        <w:tc>
          <w:tcPr>
            <w:tcW w:w="380" w:type="dxa"/>
            <w:vAlign w:val="bottom"/>
            <w:gridSpan w:val="2"/>
          </w:tcPr>
          <w:p>
            <w:pPr>
              <w:spacing w:after="0"/>
              <w:rPr>
                <w:sz w:val="2"/>
                <w:szCs w:val="2"/>
                <w:color w:val="auto"/>
              </w:rPr>
            </w:pPr>
          </w:p>
        </w:tc>
        <w:tc>
          <w:tcPr>
            <w:tcW w:w="2220" w:type="dxa"/>
            <w:vAlign w:val="bottom"/>
            <w:tcBorders>
              <w:top w:val="single" w:sz="8" w:color="0000EE"/>
            </w:tcBorders>
            <w:gridSpan w:val="15"/>
          </w:tcPr>
          <w:p>
            <w:pPr>
              <w:spacing w:after="0"/>
              <w:rPr>
                <w:sz w:val="2"/>
                <w:szCs w:val="2"/>
                <w:color w:val="auto"/>
              </w:rPr>
            </w:pPr>
          </w:p>
        </w:tc>
        <w:tc>
          <w:tcPr>
            <w:tcW w:w="8820" w:type="dxa"/>
            <w:vAlign w:val="bottom"/>
            <w:gridSpan w:val="40"/>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sz w:val="20"/>
                <w:szCs w:val="20"/>
                <w:color w:val="auto"/>
              </w:rPr>
            </w:pPr>
            <w:r>
              <w:rPr>
                <w:rFonts w:ascii="Arial" w:cs="Arial" w:eastAsia="Arial" w:hAnsi="Arial"/>
                <w:sz w:val="19"/>
                <w:szCs w:val="19"/>
                <w:color w:val="0000EE"/>
              </w:rPr>
              <w:t>Committee Charters</w:t>
            </w:r>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8</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1560" w:type="dxa"/>
            <w:vAlign w:val="bottom"/>
            <w:tcBorders>
              <w:top w:val="single" w:sz="8" w:color="0000EE"/>
            </w:tcBorders>
            <w:gridSpan w:val="4"/>
            <w:shd w:val="clear" w:color="auto" w:fill="E5FFFF"/>
          </w:tcPr>
          <w:p>
            <w:pPr>
              <w:spacing w:after="0"/>
              <w:rPr>
                <w:sz w:val="2"/>
                <w:szCs w:val="2"/>
                <w:color w:val="auto"/>
              </w:rPr>
            </w:pPr>
          </w:p>
        </w:tc>
        <w:tc>
          <w:tcPr>
            <w:tcW w:w="9480" w:type="dxa"/>
            <w:vAlign w:val="bottom"/>
            <w:tcBorders>
              <w:top w:val="single" w:sz="8" w:color="E5FFFF"/>
            </w:tcBorders>
            <w:gridSpan w:val="51"/>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rFonts w:ascii="Arial" w:cs="Arial" w:eastAsia="Arial" w:hAnsi="Arial"/>
                <w:sz w:val="19"/>
                <w:szCs w:val="19"/>
                <w:color w:val="0000EE"/>
              </w:rPr>
            </w:pPr>
            <w:hyperlink w:anchor="page13">
              <w:r>
                <w:rPr>
                  <w:rFonts w:ascii="Arial" w:cs="Arial" w:eastAsia="Arial" w:hAnsi="Arial"/>
                  <w:sz w:val="19"/>
                  <w:szCs w:val="19"/>
                  <w:color w:val="0000EE"/>
                </w:rPr>
                <w:t>Director Independence</w:t>
              </w:r>
            </w:hyperlink>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8</w:t>
            </w:r>
          </w:p>
        </w:tc>
      </w:tr>
      <w:tr>
        <w:trPr>
          <w:trHeight w:val="34"/>
        </w:trPr>
        <w:tc>
          <w:tcPr>
            <w:tcW w:w="380" w:type="dxa"/>
            <w:vAlign w:val="bottom"/>
            <w:gridSpan w:val="2"/>
          </w:tcPr>
          <w:p>
            <w:pPr>
              <w:spacing w:after="0"/>
              <w:rPr>
                <w:sz w:val="2"/>
                <w:szCs w:val="2"/>
                <w:color w:val="auto"/>
              </w:rPr>
            </w:pPr>
          </w:p>
        </w:tc>
        <w:tc>
          <w:tcPr>
            <w:tcW w:w="1760" w:type="dxa"/>
            <w:vAlign w:val="bottom"/>
            <w:tcBorders>
              <w:top w:val="single" w:sz="8" w:color="0000EE"/>
            </w:tcBorders>
            <w:gridSpan w:val="7"/>
          </w:tcPr>
          <w:p>
            <w:pPr>
              <w:spacing w:after="0"/>
              <w:rPr>
                <w:sz w:val="2"/>
                <w:szCs w:val="2"/>
                <w:color w:val="auto"/>
              </w:rPr>
            </w:pPr>
          </w:p>
        </w:tc>
        <w:tc>
          <w:tcPr>
            <w:tcW w:w="9280" w:type="dxa"/>
            <w:vAlign w:val="bottom"/>
            <w:gridSpan w:val="48"/>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rFonts w:ascii="Arial" w:cs="Arial" w:eastAsia="Arial" w:hAnsi="Arial"/>
                <w:sz w:val="19"/>
                <w:szCs w:val="19"/>
                <w:color w:val="0000EE"/>
              </w:rPr>
            </w:pPr>
            <w:hyperlink w:anchor="page13">
              <w:r>
                <w:rPr>
                  <w:rFonts w:ascii="Arial" w:cs="Arial" w:eastAsia="Arial" w:hAnsi="Arial"/>
                  <w:sz w:val="19"/>
                  <w:szCs w:val="19"/>
                  <w:color w:val="0000EE"/>
                </w:rPr>
                <w:t>Lead Director</w:t>
              </w:r>
            </w:hyperlink>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8</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1080" w:type="dxa"/>
            <w:vAlign w:val="bottom"/>
            <w:tcBorders>
              <w:top w:val="single" w:sz="8" w:color="0000EE"/>
            </w:tcBorders>
            <w:gridSpan w:val="2"/>
            <w:shd w:val="clear" w:color="auto" w:fill="E5FFFF"/>
          </w:tcPr>
          <w:p>
            <w:pPr>
              <w:spacing w:after="0"/>
              <w:rPr>
                <w:sz w:val="2"/>
                <w:szCs w:val="2"/>
                <w:color w:val="auto"/>
              </w:rPr>
            </w:pPr>
          </w:p>
        </w:tc>
        <w:tc>
          <w:tcPr>
            <w:tcW w:w="9960" w:type="dxa"/>
            <w:vAlign w:val="bottom"/>
            <w:tcBorders>
              <w:top w:val="single" w:sz="8" w:color="E5FFFF"/>
            </w:tcBorders>
            <w:gridSpan w:val="53"/>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rFonts w:ascii="Arial" w:cs="Arial" w:eastAsia="Arial" w:hAnsi="Arial"/>
                <w:sz w:val="19"/>
                <w:szCs w:val="19"/>
                <w:color w:val="0000EE"/>
              </w:rPr>
            </w:pPr>
            <w:hyperlink w:anchor="page13">
              <w:r>
                <w:rPr>
                  <w:rFonts w:ascii="Arial" w:cs="Arial" w:eastAsia="Arial" w:hAnsi="Arial"/>
                  <w:sz w:val="19"/>
                  <w:szCs w:val="19"/>
                  <w:color w:val="0000EE"/>
                </w:rPr>
                <w:t>Executive Sessions of Non-Management Directors</w:t>
              </w:r>
            </w:hyperlink>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8</w:t>
            </w:r>
          </w:p>
        </w:tc>
      </w:tr>
      <w:tr>
        <w:trPr>
          <w:trHeight w:val="34"/>
        </w:trPr>
        <w:tc>
          <w:tcPr>
            <w:tcW w:w="380" w:type="dxa"/>
            <w:vAlign w:val="bottom"/>
            <w:gridSpan w:val="2"/>
          </w:tcPr>
          <w:p>
            <w:pPr>
              <w:spacing w:after="0"/>
              <w:rPr>
                <w:sz w:val="2"/>
                <w:szCs w:val="2"/>
                <w:color w:val="auto"/>
              </w:rPr>
            </w:pPr>
          </w:p>
        </w:tc>
        <w:tc>
          <w:tcPr>
            <w:tcW w:w="3940" w:type="dxa"/>
            <w:vAlign w:val="bottom"/>
            <w:tcBorders>
              <w:top w:val="single" w:sz="8" w:color="0000EE"/>
            </w:tcBorders>
            <w:gridSpan w:val="44"/>
          </w:tcPr>
          <w:p>
            <w:pPr>
              <w:spacing w:after="0"/>
              <w:rPr>
                <w:sz w:val="2"/>
                <w:szCs w:val="2"/>
                <w:color w:val="auto"/>
              </w:rPr>
            </w:pPr>
          </w:p>
        </w:tc>
        <w:tc>
          <w:tcPr>
            <w:tcW w:w="7100" w:type="dxa"/>
            <w:vAlign w:val="bottom"/>
            <w:gridSpan w:val="11"/>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rFonts w:ascii="Arial" w:cs="Arial" w:eastAsia="Arial" w:hAnsi="Arial"/>
                <w:sz w:val="19"/>
                <w:szCs w:val="19"/>
                <w:color w:val="0000EE"/>
              </w:rPr>
            </w:pPr>
            <w:hyperlink w:anchor="page13">
              <w:r>
                <w:rPr>
                  <w:rFonts w:ascii="Arial" w:cs="Arial" w:eastAsia="Arial" w:hAnsi="Arial"/>
                  <w:sz w:val="19"/>
                  <w:szCs w:val="19"/>
                  <w:color w:val="0000EE"/>
                </w:rPr>
                <w:t>Board Members’ Attendance at Annual Meetings</w:t>
              </w:r>
            </w:hyperlink>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8</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3820" w:type="dxa"/>
            <w:vAlign w:val="bottom"/>
            <w:tcBorders>
              <w:top w:val="single" w:sz="8" w:color="0000EE"/>
            </w:tcBorders>
            <w:gridSpan w:val="42"/>
            <w:shd w:val="clear" w:color="auto" w:fill="E5FFFF"/>
          </w:tcPr>
          <w:p>
            <w:pPr>
              <w:spacing w:after="0"/>
              <w:rPr>
                <w:sz w:val="2"/>
                <w:szCs w:val="2"/>
                <w:color w:val="auto"/>
              </w:rPr>
            </w:pPr>
          </w:p>
        </w:tc>
        <w:tc>
          <w:tcPr>
            <w:tcW w:w="7220" w:type="dxa"/>
            <w:vAlign w:val="bottom"/>
            <w:tcBorders>
              <w:top w:val="single" w:sz="8" w:color="E5FFFF"/>
            </w:tcBorders>
            <w:gridSpan w:val="13"/>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sz w:val="20"/>
                <w:szCs w:val="20"/>
                <w:color w:val="auto"/>
              </w:rPr>
            </w:pPr>
            <w:r>
              <w:rPr>
                <w:rFonts w:ascii="Arial" w:cs="Arial" w:eastAsia="Arial" w:hAnsi="Arial"/>
                <w:sz w:val="19"/>
                <w:szCs w:val="19"/>
                <w:color w:val="0000EE"/>
              </w:rPr>
              <w:t>New Director Orientation</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8</w:t>
            </w:r>
          </w:p>
        </w:tc>
      </w:tr>
      <w:tr>
        <w:trPr>
          <w:trHeight w:val="34"/>
        </w:trPr>
        <w:tc>
          <w:tcPr>
            <w:tcW w:w="380" w:type="dxa"/>
            <w:vAlign w:val="bottom"/>
            <w:gridSpan w:val="2"/>
          </w:tcPr>
          <w:p>
            <w:pPr>
              <w:spacing w:after="0"/>
              <w:rPr>
                <w:sz w:val="2"/>
                <w:szCs w:val="2"/>
                <w:color w:val="auto"/>
              </w:rPr>
            </w:pPr>
          </w:p>
        </w:tc>
        <w:tc>
          <w:tcPr>
            <w:tcW w:w="2000" w:type="dxa"/>
            <w:vAlign w:val="bottom"/>
            <w:tcBorders>
              <w:top w:val="single" w:sz="8" w:color="0000EE"/>
            </w:tcBorders>
            <w:gridSpan w:val="10"/>
          </w:tcPr>
          <w:p>
            <w:pPr>
              <w:spacing w:after="0"/>
              <w:rPr>
                <w:sz w:val="2"/>
                <w:szCs w:val="2"/>
                <w:color w:val="auto"/>
              </w:rPr>
            </w:pPr>
          </w:p>
        </w:tc>
        <w:tc>
          <w:tcPr>
            <w:tcW w:w="9040" w:type="dxa"/>
            <w:vAlign w:val="bottom"/>
            <w:gridSpan w:val="45"/>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sz w:val="20"/>
                <w:szCs w:val="20"/>
                <w:color w:val="auto"/>
              </w:rPr>
            </w:pPr>
            <w:r>
              <w:rPr>
                <w:rFonts w:ascii="Arial" w:cs="Arial" w:eastAsia="Arial" w:hAnsi="Arial"/>
                <w:sz w:val="19"/>
                <w:szCs w:val="19"/>
                <w:color w:val="0000EE"/>
              </w:rPr>
              <w:t>Payment of Directors Fees in Stock</w:t>
            </w:r>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9</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2760" w:type="dxa"/>
            <w:vAlign w:val="bottom"/>
            <w:tcBorders>
              <w:top w:val="single" w:sz="8" w:color="0000EE"/>
            </w:tcBorders>
            <w:gridSpan w:val="26"/>
            <w:shd w:val="clear" w:color="auto" w:fill="E5FFFF"/>
          </w:tcPr>
          <w:p>
            <w:pPr>
              <w:spacing w:after="0"/>
              <w:rPr>
                <w:sz w:val="2"/>
                <w:szCs w:val="2"/>
                <w:color w:val="auto"/>
              </w:rPr>
            </w:pPr>
          </w:p>
        </w:tc>
        <w:tc>
          <w:tcPr>
            <w:tcW w:w="8280" w:type="dxa"/>
            <w:vAlign w:val="bottom"/>
            <w:tcBorders>
              <w:top w:val="single" w:sz="8" w:color="E5FFFF"/>
            </w:tcBorders>
            <w:gridSpan w:val="29"/>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rFonts w:ascii="Arial" w:cs="Arial" w:eastAsia="Arial" w:hAnsi="Arial"/>
                <w:sz w:val="19"/>
                <w:szCs w:val="19"/>
                <w:color w:val="0000EE"/>
              </w:rPr>
            </w:pPr>
            <w:hyperlink w:anchor="page14">
              <w:r>
                <w:rPr>
                  <w:rFonts w:ascii="Arial" w:cs="Arial" w:eastAsia="Arial" w:hAnsi="Arial"/>
                  <w:sz w:val="19"/>
                  <w:szCs w:val="19"/>
                  <w:color w:val="0000EE"/>
                </w:rPr>
                <w:t>Director Retirement</w:t>
              </w:r>
            </w:hyperlink>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9</w:t>
            </w:r>
          </w:p>
        </w:tc>
      </w:tr>
      <w:tr>
        <w:trPr>
          <w:trHeight w:val="34"/>
        </w:trPr>
        <w:tc>
          <w:tcPr>
            <w:tcW w:w="380" w:type="dxa"/>
            <w:vAlign w:val="bottom"/>
            <w:gridSpan w:val="2"/>
          </w:tcPr>
          <w:p>
            <w:pPr>
              <w:spacing w:after="0"/>
              <w:rPr>
                <w:sz w:val="2"/>
                <w:szCs w:val="2"/>
                <w:color w:val="auto"/>
              </w:rPr>
            </w:pPr>
          </w:p>
        </w:tc>
        <w:tc>
          <w:tcPr>
            <w:tcW w:w="1560" w:type="dxa"/>
            <w:vAlign w:val="bottom"/>
            <w:tcBorders>
              <w:top w:val="single" w:sz="8" w:color="0000EE"/>
            </w:tcBorders>
            <w:gridSpan w:val="4"/>
          </w:tcPr>
          <w:p>
            <w:pPr>
              <w:spacing w:after="0"/>
              <w:rPr>
                <w:sz w:val="2"/>
                <w:szCs w:val="2"/>
                <w:color w:val="auto"/>
              </w:rPr>
            </w:pPr>
          </w:p>
        </w:tc>
        <w:tc>
          <w:tcPr>
            <w:tcW w:w="9480" w:type="dxa"/>
            <w:vAlign w:val="bottom"/>
            <w:gridSpan w:val="51"/>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rFonts w:ascii="Arial" w:cs="Arial" w:eastAsia="Arial" w:hAnsi="Arial"/>
                <w:sz w:val="19"/>
                <w:szCs w:val="19"/>
                <w:color w:val="0000EE"/>
              </w:rPr>
            </w:pPr>
            <w:hyperlink w:anchor="page14">
              <w:r>
                <w:rPr>
                  <w:rFonts w:ascii="Arial" w:cs="Arial" w:eastAsia="Arial" w:hAnsi="Arial"/>
                  <w:sz w:val="19"/>
                  <w:szCs w:val="19"/>
                  <w:color w:val="0000EE"/>
                </w:rPr>
                <w:t>Change in Director’s Principal Employment</w:t>
              </w:r>
            </w:hyperlink>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9</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3420" w:type="dxa"/>
            <w:vAlign w:val="bottom"/>
            <w:tcBorders>
              <w:top w:val="single" w:sz="8" w:color="0000EE"/>
            </w:tcBorders>
            <w:gridSpan w:val="33"/>
            <w:shd w:val="clear" w:color="auto" w:fill="E5FFFF"/>
          </w:tcPr>
          <w:p>
            <w:pPr>
              <w:spacing w:after="0"/>
              <w:rPr>
                <w:sz w:val="2"/>
                <w:szCs w:val="2"/>
                <w:color w:val="auto"/>
              </w:rPr>
            </w:pPr>
          </w:p>
        </w:tc>
        <w:tc>
          <w:tcPr>
            <w:tcW w:w="7620" w:type="dxa"/>
            <w:vAlign w:val="bottom"/>
            <w:tcBorders>
              <w:top w:val="single" w:sz="8" w:color="E5FFFF"/>
            </w:tcBorders>
            <w:gridSpan w:val="22"/>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sz w:val="20"/>
                <w:szCs w:val="20"/>
                <w:color w:val="auto"/>
              </w:rPr>
            </w:pPr>
            <w:r>
              <w:rPr>
                <w:rFonts w:ascii="Arial" w:cs="Arial" w:eastAsia="Arial" w:hAnsi="Arial"/>
                <w:sz w:val="19"/>
                <w:szCs w:val="19"/>
                <w:color w:val="0000EE"/>
              </w:rPr>
              <w:t>Communications with the Board of Directors</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9</w:t>
            </w:r>
          </w:p>
        </w:tc>
      </w:tr>
      <w:tr>
        <w:trPr>
          <w:trHeight w:val="34"/>
        </w:trPr>
        <w:tc>
          <w:tcPr>
            <w:tcW w:w="380" w:type="dxa"/>
            <w:vAlign w:val="bottom"/>
            <w:gridSpan w:val="2"/>
          </w:tcPr>
          <w:p>
            <w:pPr>
              <w:spacing w:after="0"/>
              <w:rPr>
                <w:sz w:val="2"/>
                <w:szCs w:val="2"/>
                <w:color w:val="auto"/>
              </w:rPr>
            </w:pPr>
          </w:p>
        </w:tc>
        <w:tc>
          <w:tcPr>
            <w:tcW w:w="3500" w:type="dxa"/>
            <w:vAlign w:val="bottom"/>
            <w:tcBorders>
              <w:top w:val="single" w:sz="8" w:color="0000EE"/>
            </w:tcBorders>
            <w:gridSpan w:val="36"/>
          </w:tcPr>
          <w:p>
            <w:pPr>
              <w:spacing w:after="0"/>
              <w:rPr>
                <w:sz w:val="2"/>
                <w:szCs w:val="2"/>
                <w:color w:val="auto"/>
              </w:rPr>
            </w:pPr>
          </w:p>
        </w:tc>
        <w:tc>
          <w:tcPr>
            <w:tcW w:w="7540" w:type="dxa"/>
            <w:vAlign w:val="bottom"/>
            <w:gridSpan w:val="19"/>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sz w:val="20"/>
                <w:szCs w:val="20"/>
                <w:color w:val="auto"/>
              </w:rPr>
            </w:pPr>
            <w:r>
              <w:rPr>
                <w:rFonts w:ascii="Arial" w:cs="Arial" w:eastAsia="Arial" w:hAnsi="Arial"/>
                <w:sz w:val="19"/>
                <w:szCs w:val="19"/>
                <w:color w:val="0000EE"/>
              </w:rPr>
              <w:t>Retention of Outside Advisors</w:t>
            </w:r>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9</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2360" w:type="dxa"/>
            <w:vAlign w:val="bottom"/>
            <w:tcBorders>
              <w:top w:val="single" w:sz="8" w:color="0000EE"/>
            </w:tcBorders>
            <w:gridSpan w:val="18"/>
            <w:shd w:val="clear" w:color="auto" w:fill="E5FFFF"/>
          </w:tcPr>
          <w:p>
            <w:pPr>
              <w:spacing w:after="0"/>
              <w:rPr>
                <w:sz w:val="2"/>
                <w:szCs w:val="2"/>
                <w:color w:val="auto"/>
              </w:rPr>
            </w:pPr>
          </w:p>
        </w:tc>
        <w:tc>
          <w:tcPr>
            <w:tcW w:w="8680" w:type="dxa"/>
            <w:vAlign w:val="bottom"/>
            <w:tcBorders>
              <w:top w:val="single" w:sz="8" w:color="E5FFFF"/>
            </w:tcBorders>
            <w:gridSpan w:val="37"/>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rFonts w:ascii="Arial" w:cs="Arial" w:eastAsia="Arial" w:hAnsi="Arial"/>
                <w:sz w:val="19"/>
                <w:szCs w:val="19"/>
                <w:color w:val="0000EE"/>
              </w:rPr>
            </w:pPr>
            <w:hyperlink w:anchor="page15">
              <w:r>
                <w:rPr>
                  <w:rFonts w:ascii="Arial" w:cs="Arial" w:eastAsia="Arial" w:hAnsi="Arial"/>
                  <w:sz w:val="19"/>
                  <w:szCs w:val="19"/>
                  <w:color w:val="0000EE"/>
                </w:rPr>
                <w:t>Code of Business Conduct</w:t>
              </w:r>
            </w:hyperlink>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10</w:t>
            </w:r>
          </w:p>
        </w:tc>
      </w:tr>
      <w:tr>
        <w:trPr>
          <w:trHeight w:val="34"/>
        </w:trPr>
        <w:tc>
          <w:tcPr>
            <w:tcW w:w="380" w:type="dxa"/>
            <w:vAlign w:val="bottom"/>
            <w:gridSpan w:val="2"/>
          </w:tcPr>
          <w:p>
            <w:pPr>
              <w:spacing w:after="0"/>
              <w:rPr>
                <w:sz w:val="2"/>
                <w:szCs w:val="2"/>
                <w:color w:val="auto"/>
              </w:rPr>
            </w:pPr>
          </w:p>
        </w:tc>
        <w:tc>
          <w:tcPr>
            <w:tcW w:w="2060" w:type="dxa"/>
            <w:vAlign w:val="bottom"/>
            <w:tcBorders>
              <w:top w:val="single" w:sz="8" w:color="0000EE"/>
            </w:tcBorders>
            <w:gridSpan w:val="13"/>
          </w:tcPr>
          <w:p>
            <w:pPr>
              <w:spacing w:after="0"/>
              <w:rPr>
                <w:sz w:val="2"/>
                <w:szCs w:val="2"/>
                <w:color w:val="auto"/>
              </w:rPr>
            </w:pPr>
          </w:p>
        </w:tc>
        <w:tc>
          <w:tcPr>
            <w:tcW w:w="8980" w:type="dxa"/>
            <w:vAlign w:val="bottom"/>
            <w:gridSpan w:val="42"/>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spacing w:after="0" w:line="216" w:lineRule="exact"/>
              <w:rPr>
                <w:rFonts w:ascii="Arial" w:cs="Arial" w:eastAsia="Arial" w:hAnsi="Arial"/>
                <w:sz w:val="19"/>
                <w:szCs w:val="19"/>
                <w:b w:val="1"/>
                <w:bCs w:val="1"/>
                <w:color w:val="0000EE"/>
              </w:rPr>
            </w:pPr>
            <w:hyperlink w:anchor="page15">
              <w:r>
                <w:rPr>
                  <w:rFonts w:ascii="Arial" w:cs="Arial" w:eastAsia="Arial" w:hAnsi="Arial"/>
                  <w:sz w:val="19"/>
                  <w:szCs w:val="19"/>
                  <w:b w:val="1"/>
                  <w:bCs w:val="1"/>
                  <w:color w:val="0000EE"/>
                </w:rPr>
                <w:t>Board of Directors</w:t>
              </w:r>
            </w:hyperlink>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10</w:t>
            </w:r>
          </w:p>
        </w:tc>
      </w:tr>
      <w:tr>
        <w:trPr>
          <w:trHeight w:val="34"/>
        </w:trPr>
        <w:tc>
          <w:tcPr>
            <w:tcW w:w="20" w:type="dxa"/>
            <w:vAlign w:val="bottom"/>
            <w:tcBorders>
              <w:top w:val="single" w:sz="8" w:color="E5FFFF"/>
            </w:tcBorders>
            <w:shd w:val="clear" w:color="auto" w:fill="E5FFFF"/>
          </w:tcPr>
          <w:p>
            <w:pPr>
              <w:spacing w:after="0"/>
              <w:rPr>
                <w:sz w:val="2"/>
                <w:szCs w:val="2"/>
                <w:color w:val="auto"/>
              </w:rPr>
            </w:pPr>
          </w:p>
        </w:tc>
        <w:tc>
          <w:tcPr>
            <w:tcW w:w="1540" w:type="dxa"/>
            <w:vAlign w:val="bottom"/>
            <w:tcBorders>
              <w:top w:val="single" w:sz="8" w:color="0000EE"/>
            </w:tcBorders>
            <w:gridSpan w:val="4"/>
            <w:shd w:val="clear" w:color="auto" w:fill="E5FFFF"/>
          </w:tcPr>
          <w:p>
            <w:pPr>
              <w:spacing w:after="0"/>
              <w:rPr>
                <w:sz w:val="2"/>
                <w:szCs w:val="2"/>
                <w:color w:val="auto"/>
              </w:rPr>
            </w:pPr>
          </w:p>
        </w:tc>
        <w:tc>
          <w:tcPr>
            <w:tcW w:w="9860" w:type="dxa"/>
            <w:vAlign w:val="bottom"/>
            <w:tcBorders>
              <w:top w:val="single" w:sz="8" w:color="E5FFFF"/>
            </w:tcBorders>
            <w:gridSpan w:val="52"/>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rFonts w:ascii="Arial" w:cs="Arial" w:eastAsia="Arial" w:hAnsi="Arial"/>
                <w:sz w:val="19"/>
                <w:szCs w:val="19"/>
                <w:color w:val="0000EE"/>
              </w:rPr>
            </w:pPr>
            <w:hyperlink w:anchor="page15">
              <w:r>
                <w:rPr>
                  <w:rFonts w:ascii="Arial" w:cs="Arial" w:eastAsia="Arial" w:hAnsi="Arial"/>
                  <w:sz w:val="19"/>
                  <w:szCs w:val="19"/>
                  <w:color w:val="0000EE"/>
                </w:rPr>
                <w:t>Organization and Powers</w:t>
              </w:r>
            </w:hyperlink>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10</w:t>
            </w:r>
          </w:p>
        </w:tc>
      </w:tr>
      <w:tr>
        <w:trPr>
          <w:trHeight w:val="34"/>
        </w:trPr>
        <w:tc>
          <w:tcPr>
            <w:tcW w:w="380" w:type="dxa"/>
            <w:vAlign w:val="bottom"/>
            <w:gridSpan w:val="2"/>
          </w:tcPr>
          <w:p>
            <w:pPr>
              <w:spacing w:after="0"/>
              <w:rPr>
                <w:sz w:val="2"/>
                <w:szCs w:val="2"/>
                <w:color w:val="auto"/>
              </w:rPr>
            </w:pPr>
          </w:p>
        </w:tc>
        <w:tc>
          <w:tcPr>
            <w:tcW w:w="1960" w:type="dxa"/>
            <w:vAlign w:val="bottom"/>
            <w:tcBorders>
              <w:top w:val="single" w:sz="8" w:color="0000EE"/>
            </w:tcBorders>
            <w:gridSpan w:val="9"/>
          </w:tcPr>
          <w:p>
            <w:pPr>
              <w:spacing w:after="0"/>
              <w:rPr>
                <w:sz w:val="2"/>
                <w:szCs w:val="2"/>
                <w:color w:val="auto"/>
              </w:rPr>
            </w:pPr>
          </w:p>
        </w:tc>
        <w:tc>
          <w:tcPr>
            <w:tcW w:w="9080" w:type="dxa"/>
            <w:vAlign w:val="bottom"/>
            <w:gridSpan w:val="46"/>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rFonts w:ascii="Arial" w:cs="Arial" w:eastAsia="Arial" w:hAnsi="Arial"/>
                <w:sz w:val="19"/>
                <w:szCs w:val="19"/>
                <w:color w:val="0000EE"/>
              </w:rPr>
            </w:pPr>
            <w:hyperlink w:anchor="page20">
              <w:r>
                <w:rPr>
                  <w:rFonts w:ascii="Arial" w:cs="Arial" w:eastAsia="Arial" w:hAnsi="Arial"/>
                  <w:sz w:val="19"/>
                  <w:szCs w:val="19"/>
                  <w:color w:val="0000EE"/>
                </w:rPr>
                <w:t>Directors’ Independence</w:t>
              </w:r>
            </w:hyperlink>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10</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1920" w:type="dxa"/>
            <w:vAlign w:val="bottom"/>
            <w:tcBorders>
              <w:top w:val="single" w:sz="8" w:color="0000EE"/>
            </w:tcBorders>
            <w:gridSpan w:val="8"/>
            <w:shd w:val="clear" w:color="auto" w:fill="E5FFFF"/>
          </w:tcPr>
          <w:p>
            <w:pPr>
              <w:spacing w:after="0"/>
              <w:rPr>
                <w:sz w:val="2"/>
                <w:szCs w:val="2"/>
                <w:color w:val="auto"/>
              </w:rPr>
            </w:pPr>
          </w:p>
        </w:tc>
        <w:tc>
          <w:tcPr>
            <w:tcW w:w="9120" w:type="dxa"/>
            <w:vAlign w:val="bottom"/>
            <w:tcBorders>
              <w:top w:val="single" w:sz="8" w:color="E5FFFF"/>
            </w:tcBorders>
            <w:gridSpan w:val="47"/>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sz w:val="20"/>
                <w:szCs w:val="20"/>
                <w:color w:val="auto"/>
              </w:rPr>
            </w:pPr>
            <w:r>
              <w:rPr>
                <w:rFonts w:ascii="Arial" w:cs="Arial" w:eastAsia="Arial" w:hAnsi="Arial"/>
                <w:sz w:val="19"/>
                <w:szCs w:val="19"/>
                <w:color w:val="0000EE"/>
              </w:rPr>
              <w:t>Committees of the Board of Directors</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12</w:t>
            </w:r>
          </w:p>
        </w:tc>
      </w:tr>
      <w:tr>
        <w:trPr>
          <w:trHeight w:val="34"/>
        </w:trPr>
        <w:tc>
          <w:tcPr>
            <w:tcW w:w="380" w:type="dxa"/>
            <w:vAlign w:val="bottom"/>
            <w:gridSpan w:val="2"/>
          </w:tcPr>
          <w:p>
            <w:pPr>
              <w:spacing w:after="0"/>
              <w:rPr>
                <w:sz w:val="2"/>
                <w:szCs w:val="2"/>
                <w:color w:val="auto"/>
              </w:rPr>
            </w:pPr>
          </w:p>
        </w:tc>
        <w:tc>
          <w:tcPr>
            <w:tcW w:w="2940" w:type="dxa"/>
            <w:vAlign w:val="bottom"/>
            <w:tcBorders>
              <w:top w:val="single" w:sz="8" w:color="0000EE"/>
            </w:tcBorders>
            <w:gridSpan w:val="27"/>
          </w:tcPr>
          <w:p>
            <w:pPr>
              <w:spacing w:after="0"/>
              <w:rPr>
                <w:sz w:val="2"/>
                <w:szCs w:val="2"/>
                <w:color w:val="auto"/>
              </w:rPr>
            </w:pPr>
          </w:p>
        </w:tc>
        <w:tc>
          <w:tcPr>
            <w:tcW w:w="8100" w:type="dxa"/>
            <w:vAlign w:val="bottom"/>
            <w:gridSpan w:val="28"/>
          </w:tcPr>
          <w:p>
            <w:pPr>
              <w:spacing w:after="0"/>
              <w:rPr>
                <w:sz w:val="2"/>
                <w:szCs w:val="2"/>
                <w:color w:val="auto"/>
              </w:rPr>
            </w:pPr>
          </w:p>
        </w:tc>
      </w:tr>
      <w:tr>
        <w:trPr>
          <w:trHeight w:val="250"/>
        </w:trPr>
        <w:tc>
          <w:tcPr>
            <w:tcW w:w="20" w:type="dxa"/>
            <w:vAlign w:val="bottom"/>
            <w:tcBorders>
              <w:bottom w:val="single" w:sz="8" w:color="E5FFFF"/>
            </w:tcBorders>
            <w:shd w:val="clear" w:color="auto" w:fill="E5FFFF"/>
          </w:tcPr>
          <w:p>
            <w:pPr>
              <w:spacing w:after="0"/>
              <w:rPr>
                <w:sz w:val="21"/>
                <w:szCs w:val="21"/>
                <w:color w:val="auto"/>
              </w:rPr>
            </w:pPr>
          </w:p>
        </w:tc>
        <w:tc>
          <w:tcPr>
            <w:tcW w:w="360" w:type="dxa"/>
            <w:vAlign w:val="bottom"/>
            <w:tcBorders>
              <w:bottom w:val="single" w:sz="8" w:color="E5FFFF"/>
            </w:tcBorders>
            <w:shd w:val="clear" w:color="auto" w:fill="E5FFFF"/>
          </w:tcPr>
          <w:p>
            <w:pPr>
              <w:spacing w:after="0"/>
              <w:rPr>
                <w:sz w:val="21"/>
                <w:szCs w:val="21"/>
                <w:color w:val="auto"/>
              </w:rPr>
            </w:pPr>
          </w:p>
        </w:tc>
        <w:tc>
          <w:tcPr>
            <w:tcW w:w="360" w:type="dxa"/>
            <w:vAlign w:val="bottom"/>
            <w:tcBorders>
              <w:bottom w:val="single" w:sz="8" w:color="E5FFFF"/>
            </w:tcBorders>
            <w:shd w:val="clear" w:color="auto" w:fill="E5FFFF"/>
          </w:tcPr>
          <w:p>
            <w:pPr>
              <w:spacing w:after="0"/>
              <w:rPr>
                <w:sz w:val="21"/>
                <w:szCs w:val="21"/>
                <w:color w:val="auto"/>
              </w:rPr>
            </w:pPr>
          </w:p>
        </w:tc>
        <w:tc>
          <w:tcPr>
            <w:tcW w:w="1360" w:type="dxa"/>
            <w:vAlign w:val="bottom"/>
            <w:tcBorders>
              <w:bottom w:val="single" w:sz="8" w:color="0000EE"/>
            </w:tcBorders>
            <w:gridSpan w:val="5"/>
            <w:shd w:val="clear" w:color="auto" w:fill="E5FFFF"/>
          </w:tcPr>
          <w:p>
            <w:pPr>
              <w:spacing w:after="0" w:line="216" w:lineRule="exact"/>
              <w:rPr>
                <w:rFonts w:ascii="Arial" w:cs="Arial" w:eastAsia="Arial" w:hAnsi="Arial"/>
                <w:sz w:val="19"/>
                <w:szCs w:val="19"/>
                <w:color w:val="0000EE"/>
                <w:w w:val="95"/>
              </w:rPr>
            </w:pPr>
            <w:hyperlink w:anchor="page17">
              <w:r>
                <w:rPr>
                  <w:rFonts w:ascii="Arial" w:cs="Arial" w:eastAsia="Arial" w:hAnsi="Arial"/>
                  <w:sz w:val="19"/>
                  <w:szCs w:val="19"/>
                  <w:color w:val="0000EE"/>
                  <w:w w:val="95"/>
                </w:rPr>
                <w:t>Audit Committee</w:t>
              </w:r>
            </w:hyperlink>
          </w:p>
        </w:tc>
        <w:tc>
          <w:tcPr>
            <w:tcW w:w="8880" w:type="dxa"/>
            <w:vAlign w:val="bottom"/>
            <w:tcBorders>
              <w:bottom w:val="single" w:sz="8" w:color="E5FFFF"/>
            </w:tcBorders>
            <w:gridSpan w:val="48"/>
            <w:shd w:val="clear" w:color="auto" w:fill="E5FFFF"/>
          </w:tcPr>
          <w:p>
            <w:pPr>
              <w:spacing w:after="0"/>
              <w:rPr>
                <w:sz w:val="21"/>
                <w:szCs w:val="21"/>
                <w:color w:val="auto"/>
              </w:rPr>
            </w:pPr>
          </w:p>
        </w:tc>
        <w:tc>
          <w:tcPr>
            <w:tcW w:w="440" w:type="dxa"/>
            <w:vAlign w:val="bottom"/>
            <w:tcBorders>
              <w:bottom w:val="single" w:sz="8" w:color="E5FFFF"/>
            </w:tcBorders>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12</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40" w:type="dxa"/>
            <w:vAlign w:val="bottom"/>
            <w:gridSpan w:val="53"/>
          </w:tcPr>
          <w:p>
            <w:pPr>
              <w:spacing w:after="0" w:line="216" w:lineRule="exact"/>
              <w:rPr>
                <w:rFonts w:ascii="Arial" w:cs="Arial" w:eastAsia="Arial" w:hAnsi="Arial"/>
                <w:sz w:val="19"/>
                <w:szCs w:val="19"/>
                <w:color w:val="0000EE"/>
              </w:rPr>
            </w:pPr>
            <w:hyperlink w:anchor="page18">
              <w:r>
                <w:rPr>
                  <w:rFonts w:ascii="Arial" w:cs="Arial" w:eastAsia="Arial" w:hAnsi="Arial"/>
                  <w:sz w:val="19"/>
                  <w:szCs w:val="19"/>
                  <w:color w:val="0000EE"/>
                </w:rPr>
                <w:t>Compensation and Management Resources Committee</w:t>
              </w:r>
            </w:hyperlink>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13</w:t>
            </w:r>
          </w:p>
        </w:tc>
      </w:tr>
      <w:tr>
        <w:trPr>
          <w:trHeight w:val="34"/>
        </w:trPr>
        <w:tc>
          <w:tcPr>
            <w:tcW w:w="740" w:type="dxa"/>
            <w:vAlign w:val="bottom"/>
            <w:gridSpan w:val="3"/>
          </w:tcPr>
          <w:p>
            <w:pPr>
              <w:spacing w:after="0"/>
              <w:rPr>
                <w:sz w:val="2"/>
                <w:szCs w:val="2"/>
                <w:color w:val="auto"/>
              </w:rPr>
            </w:pPr>
          </w:p>
        </w:tc>
        <w:tc>
          <w:tcPr>
            <w:tcW w:w="4260" w:type="dxa"/>
            <w:vAlign w:val="bottom"/>
            <w:tcBorders>
              <w:top w:val="single" w:sz="8" w:color="0000EE"/>
            </w:tcBorders>
            <w:gridSpan w:val="48"/>
          </w:tcPr>
          <w:p>
            <w:pPr>
              <w:spacing w:after="0"/>
              <w:rPr>
                <w:sz w:val="2"/>
                <w:szCs w:val="2"/>
                <w:color w:val="auto"/>
              </w:rPr>
            </w:pPr>
          </w:p>
        </w:tc>
        <w:tc>
          <w:tcPr>
            <w:tcW w:w="6420" w:type="dxa"/>
            <w:vAlign w:val="bottom"/>
            <w:gridSpan w:val="6"/>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10240" w:type="dxa"/>
            <w:vAlign w:val="bottom"/>
            <w:gridSpan w:val="53"/>
            <w:shd w:val="clear" w:color="auto" w:fill="E5FFFF"/>
          </w:tcPr>
          <w:p>
            <w:pPr>
              <w:spacing w:after="0" w:line="216" w:lineRule="exact"/>
              <w:rPr>
                <w:rFonts w:ascii="Arial" w:cs="Arial" w:eastAsia="Arial" w:hAnsi="Arial"/>
                <w:sz w:val="19"/>
                <w:szCs w:val="19"/>
                <w:color w:val="0000EE"/>
              </w:rPr>
            </w:pPr>
            <w:hyperlink w:anchor="page19">
              <w:r>
                <w:rPr>
                  <w:rFonts w:ascii="Arial" w:cs="Arial" w:eastAsia="Arial" w:hAnsi="Arial"/>
                  <w:sz w:val="19"/>
                  <w:szCs w:val="19"/>
                  <w:color w:val="0000EE"/>
                </w:rPr>
                <w:t>Executive Committee</w:t>
              </w:r>
            </w:hyperlink>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14</w:t>
            </w:r>
          </w:p>
        </w:tc>
      </w:tr>
      <w:tr>
        <w:trPr>
          <w:trHeight w:val="34"/>
        </w:trPr>
        <w:tc>
          <w:tcPr>
            <w:tcW w:w="740" w:type="dxa"/>
            <w:vAlign w:val="bottom"/>
            <w:tcBorders>
              <w:top w:val="single" w:sz="8" w:color="E5FFFF"/>
            </w:tcBorders>
            <w:gridSpan w:val="3"/>
            <w:shd w:val="clear" w:color="auto" w:fill="E5FFFF"/>
          </w:tcPr>
          <w:p>
            <w:pPr>
              <w:spacing w:after="0"/>
              <w:rPr>
                <w:sz w:val="2"/>
                <w:szCs w:val="2"/>
                <w:color w:val="auto"/>
              </w:rPr>
            </w:pPr>
          </w:p>
        </w:tc>
        <w:tc>
          <w:tcPr>
            <w:tcW w:w="1680" w:type="dxa"/>
            <w:vAlign w:val="bottom"/>
            <w:tcBorders>
              <w:top w:val="single" w:sz="8" w:color="0000EE"/>
            </w:tcBorders>
            <w:gridSpan w:val="11"/>
            <w:shd w:val="clear" w:color="auto" w:fill="E5FFFF"/>
          </w:tcPr>
          <w:p>
            <w:pPr>
              <w:spacing w:after="0"/>
              <w:rPr>
                <w:sz w:val="2"/>
                <w:szCs w:val="2"/>
                <w:color w:val="auto"/>
              </w:rPr>
            </w:pPr>
          </w:p>
        </w:tc>
        <w:tc>
          <w:tcPr>
            <w:tcW w:w="9000" w:type="dxa"/>
            <w:vAlign w:val="bottom"/>
            <w:tcBorders>
              <w:top w:val="single" w:sz="8" w:color="E5FFFF"/>
            </w:tcBorders>
            <w:gridSpan w:val="43"/>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40" w:type="dxa"/>
            <w:vAlign w:val="bottom"/>
            <w:gridSpan w:val="53"/>
          </w:tcPr>
          <w:p>
            <w:pPr>
              <w:spacing w:after="0" w:line="216" w:lineRule="exact"/>
              <w:rPr>
                <w:sz w:val="20"/>
                <w:szCs w:val="20"/>
                <w:color w:val="auto"/>
              </w:rPr>
            </w:pPr>
            <w:r>
              <w:rPr>
                <w:rFonts w:ascii="Arial" w:cs="Arial" w:eastAsia="Arial" w:hAnsi="Arial"/>
                <w:sz w:val="19"/>
                <w:szCs w:val="19"/>
                <w:color w:val="0000EE"/>
              </w:rPr>
              <w:t>Finance and Strategic Planning Committee</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14</w:t>
            </w:r>
          </w:p>
        </w:tc>
      </w:tr>
      <w:tr>
        <w:trPr>
          <w:trHeight w:val="34"/>
        </w:trPr>
        <w:tc>
          <w:tcPr>
            <w:tcW w:w="740" w:type="dxa"/>
            <w:vAlign w:val="bottom"/>
            <w:gridSpan w:val="3"/>
          </w:tcPr>
          <w:p>
            <w:pPr>
              <w:spacing w:after="0"/>
              <w:rPr>
                <w:sz w:val="2"/>
                <w:szCs w:val="2"/>
                <w:color w:val="auto"/>
              </w:rPr>
            </w:pPr>
          </w:p>
        </w:tc>
        <w:tc>
          <w:tcPr>
            <w:tcW w:w="3320" w:type="dxa"/>
            <w:vAlign w:val="bottom"/>
            <w:tcBorders>
              <w:top w:val="single" w:sz="8" w:color="0000EE"/>
            </w:tcBorders>
            <w:gridSpan w:val="37"/>
          </w:tcPr>
          <w:p>
            <w:pPr>
              <w:spacing w:after="0"/>
              <w:rPr>
                <w:sz w:val="2"/>
                <w:szCs w:val="2"/>
                <w:color w:val="auto"/>
              </w:rPr>
            </w:pPr>
          </w:p>
        </w:tc>
        <w:tc>
          <w:tcPr>
            <w:tcW w:w="7360" w:type="dxa"/>
            <w:vAlign w:val="bottom"/>
            <w:gridSpan w:val="17"/>
          </w:tcPr>
          <w:p>
            <w:pPr>
              <w:spacing w:after="0"/>
              <w:rPr>
                <w:sz w:val="2"/>
                <w:szCs w:val="2"/>
                <w:color w:val="auto"/>
              </w:rPr>
            </w:pPr>
          </w:p>
        </w:tc>
      </w:tr>
      <w:tr>
        <w:trPr>
          <w:trHeight w:val="250"/>
        </w:trPr>
        <w:tc>
          <w:tcPr>
            <w:tcW w:w="20" w:type="dxa"/>
            <w:vAlign w:val="bottom"/>
            <w:tcBorders>
              <w:bottom w:val="single" w:sz="8" w:color="E5FFFF"/>
            </w:tcBorders>
            <w:shd w:val="clear" w:color="auto" w:fill="E5FFFF"/>
          </w:tcPr>
          <w:p>
            <w:pPr>
              <w:spacing w:after="0"/>
              <w:rPr>
                <w:sz w:val="21"/>
                <w:szCs w:val="21"/>
                <w:color w:val="auto"/>
              </w:rPr>
            </w:pPr>
          </w:p>
        </w:tc>
        <w:tc>
          <w:tcPr>
            <w:tcW w:w="360" w:type="dxa"/>
            <w:vAlign w:val="bottom"/>
            <w:tcBorders>
              <w:bottom w:val="single" w:sz="8" w:color="E5FFFF"/>
            </w:tcBorders>
            <w:shd w:val="clear" w:color="auto" w:fill="E5FFFF"/>
          </w:tcPr>
          <w:p>
            <w:pPr>
              <w:spacing w:after="0"/>
              <w:rPr>
                <w:sz w:val="21"/>
                <w:szCs w:val="21"/>
                <w:color w:val="auto"/>
              </w:rPr>
            </w:pPr>
          </w:p>
        </w:tc>
        <w:tc>
          <w:tcPr>
            <w:tcW w:w="360" w:type="dxa"/>
            <w:vAlign w:val="bottom"/>
            <w:tcBorders>
              <w:bottom w:val="single" w:sz="8" w:color="E5FFFF"/>
            </w:tcBorders>
            <w:shd w:val="clear" w:color="auto" w:fill="E5FFFF"/>
          </w:tcPr>
          <w:p>
            <w:pPr>
              <w:spacing w:after="0"/>
              <w:rPr>
                <w:sz w:val="21"/>
                <w:szCs w:val="21"/>
                <w:color w:val="auto"/>
              </w:rPr>
            </w:pPr>
          </w:p>
        </w:tc>
        <w:tc>
          <w:tcPr>
            <w:tcW w:w="3980" w:type="dxa"/>
            <w:vAlign w:val="bottom"/>
            <w:tcBorders>
              <w:bottom w:val="single" w:sz="8" w:color="0000EE"/>
            </w:tcBorders>
            <w:gridSpan w:val="46"/>
            <w:shd w:val="clear" w:color="auto" w:fill="E5FFFF"/>
          </w:tcPr>
          <w:p>
            <w:pPr>
              <w:spacing w:after="0" w:line="216" w:lineRule="exact"/>
              <w:rPr>
                <w:sz w:val="20"/>
                <w:szCs w:val="20"/>
                <w:color w:val="auto"/>
              </w:rPr>
            </w:pPr>
            <w:r>
              <w:rPr>
                <w:rFonts w:ascii="Arial" w:cs="Arial" w:eastAsia="Arial" w:hAnsi="Arial"/>
                <w:sz w:val="19"/>
                <w:szCs w:val="19"/>
                <w:color w:val="0000EE"/>
                <w:w w:val="92"/>
              </w:rPr>
              <w:t>Nominating and Corporate Governance Committee</w:t>
            </w:r>
          </w:p>
        </w:tc>
        <w:tc>
          <w:tcPr>
            <w:tcW w:w="6260" w:type="dxa"/>
            <w:vAlign w:val="bottom"/>
            <w:tcBorders>
              <w:bottom w:val="single" w:sz="8" w:color="E5FFFF"/>
            </w:tcBorders>
            <w:gridSpan w:val="7"/>
            <w:shd w:val="clear" w:color="auto" w:fill="E5FFFF"/>
          </w:tcPr>
          <w:p>
            <w:pPr>
              <w:spacing w:after="0"/>
              <w:rPr>
                <w:sz w:val="21"/>
                <w:szCs w:val="21"/>
                <w:color w:val="auto"/>
              </w:rPr>
            </w:pPr>
          </w:p>
        </w:tc>
        <w:tc>
          <w:tcPr>
            <w:tcW w:w="440" w:type="dxa"/>
            <w:vAlign w:val="bottom"/>
            <w:tcBorders>
              <w:bottom w:val="single" w:sz="8" w:color="E5FFFF"/>
            </w:tcBorders>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14</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40" w:type="dxa"/>
            <w:vAlign w:val="bottom"/>
            <w:gridSpan w:val="53"/>
          </w:tcPr>
          <w:p>
            <w:pPr>
              <w:spacing w:after="0" w:line="216" w:lineRule="exact"/>
              <w:rPr>
                <w:rFonts w:ascii="Arial" w:cs="Arial" w:eastAsia="Arial" w:hAnsi="Arial"/>
                <w:sz w:val="19"/>
                <w:szCs w:val="19"/>
                <w:color w:val="0000EE"/>
              </w:rPr>
            </w:pPr>
            <w:hyperlink w:anchor="page20">
              <w:r>
                <w:rPr>
                  <w:rFonts w:ascii="Arial" w:cs="Arial" w:eastAsia="Arial" w:hAnsi="Arial"/>
                  <w:sz w:val="19"/>
                  <w:szCs w:val="19"/>
                  <w:color w:val="0000EE"/>
                </w:rPr>
                <w:t>Retirement Plan Committee</w:t>
              </w:r>
            </w:hyperlink>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15</w:t>
            </w:r>
          </w:p>
        </w:tc>
      </w:tr>
      <w:tr>
        <w:trPr>
          <w:trHeight w:val="34"/>
        </w:trPr>
        <w:tc>
          <w:tcPr>
            <w:tcW w:w="740" w:type="dxa"/>
            <w:vAlign w:val="bottom"/>
            <w:gridSpan w:val="3"/>
          </w:tcPr>
          <w:p>
            <w:pPr>
              <w:spacing w:after="0"/>
              <w:rPr>
                <w:sz w:val="2"/>
                <w:szCs w:val="2"/>
                <w:color w:val="auto"/>
              </w:rPr>
            </w:pPr>
          </w:p>
        </w:tc>
        <w:tc>
          <w:tcPr>
            <w:tcW w:w="2160" w:type="dxa"/>
            <w:vAlign w:val="bottom"/>
            <w:tcBorders>
              <w:top w:val="single" w:sz="8" w:color="0000EE"/>
            </w:tcBorders>
            <w:gridSpan w:val="20"/>
          </w:tcPr>
          <w:p>
            <w:pPr>
              <w:spacing w:after="0"/>
              <w:rPr>
                <w:sz w:val="2"/>
                <w:szCs w:val="2"/>
                <w:color w:val="auto"/>
              </w:rPr>
            </w:pPr>
          </w:p>
        </w:tc>
        <w:tc>
          <w:tcPr>
            <w:tcW w:w="8520" w:type="dxa"/>
            <w:vAlign w:val="bottom"/>
            <w:gridSpan w:val="34"/>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rFonts w:ascii="Arial" w:cs="Arial" w:eastAsia="Arial" w:hAnsi="Arial"/>
                <w:sz w:val="19"/>
                <w:szCs w:val="19"/>
                <w:color w:val="0000EE"/>
              </w:rPr>
            </w:pPr>
            <w:hyperlink w:anchor="page20">
              <w:r>
                <w:rPr>
                  <w:rFonts w:ascii="Arial" w:cs="Arial" w:eastAsia="Arial" w:hAnsi="Arial"/>
                  <w:sz w:val="19"/>
                  <w:szCs w:val="19"/>
                  <w:color w:val="0000EE"/>
                </w:rPr>
                <w:t>Related Person Transactions</w:t>
              </w:r>
            </w:hyperlink>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15</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2200" w:type="dxa"/>
            <w:vAlign w:val="bottom"/>
            <w:tcBorders>
              <w:top w:val="single" w:sz="8" w:color="0000EE"/>
            </w:tcBorders>
            <w:gridSpan w:val="14"/>
            <w:shd w:val="clear" w:color="auto" w:fill="E5FFFF"/>
          </w:tcPr>
          <w:p>
            <w:pPr>
              <w:spacing w:after="0"/>
              <w:rPr>
                <w:sz w:val="2"/>
                <w:szCs w:val="2"/>
                <w:color w:val="auto"/>
              </w:rPr>
            </w:pPr>
          </w:p>
        </w:tc>
        <w:tc>
          <w:tcPr>
            <w:tcW w:w="8840" w:type="dxa"/>
            <w:vAlign w:val="bottom"/>
            <w:tcBorders>
              <w:top w:val="single" w:sz="8" w:color="E5FFFF"/>
            </w:tcBorders>
            <w:gridSpan w:val="41"/>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sz w:val="20"/>
                <w:szCs w:val="20"/>
                <w:color w:val="auto"/>
              </w:rPr>
            </w:pPr>
            <w:r>
              <w:rPr>
                <w:rFonts w:ascii="Arial" w:cs="Arial" w:eastAsia="Arial" w:hAnsi="Arial"/>
                <w:sz w:val="19"/>
                <w:szCs w:val="19"/>
                <w:color w:val="0000EE"/>
              </w:rPr>
              <w:t>Directors’ Compensation and Benefits</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15</w:t>
            </w:r>
          </w:p>
        </w:tc>
      </w:tr>
      <w:tr>
        <w:trPr>
          <w:trHeight w:val="34"/>
        </w:trPr>
        <w:tc>
          <w:tcPr>
            <w:tcW w:w="380" w:type="dxa"/>
            <w:vAlign w:val="bottom"/>
            <w:gridSpan w:val="2"/>
          </w:tcPr>
          <w:p>
            <w:pPr>
              <w:spacing w:after="0"/>
              <w:rPr>
                <w:sz w:val="2"/>
                <w:szCs w:val="2"/>
                <w:color w:val="auto"/>
              </w:rPr>
            </w:pPr>
          </w:p>
        </w:tc>
        <w:tc>
          <w:tcPr>
            <w:tcW w:w="2980" w:type="dxa"/>
            <w:vAlign w:val="bottom"/>
            <w:tcBorders>
              <w:top w:val="single" w:sz="8" w:color="0000EE"/>
            </w:tcBorders>
            <w:gridSpan w:val="28"/>
          </w:tcPr>
          <w:p>
            <w:pPr>
              <w:spacing w:after="0"/>
              <w:rPr>
                <w:sz w:val="2"/>
                <w:szCs w:val="2"/>
                <w:color w:val="auto"/>
              </w:rPr>
            </w:pPr>
          </w:p>
        </w:tc>
        <w:tc>
          <w:tcPr>
            <w:tcW w:w="8060" w:type="dxa"/>
            <w:vAlign w:val="bottom"/>
            <w:gridSpan w:val="27"/>
          </w:tcPr>
          <w:p>
            <w:pPr>
              <w:spacing w:after="0"/>
              <w:rPr>
                <w:sz w:val="2"/>
                <w:szCs w:val="2"/>
                <w:color w:val="auto"/>
              </w:rPr>
            </w:pPr>
          </w:p>
        </w:tc>
      </w:tr>
      <w:tr>
        <w:trPr>
          <w:trHeight w:val="250"/>
        </w:trPr>
        <w:tc>
          <w:tcPr>
            <w:tcW w:w="20" w:type="dxa"/>
            <w:vAlign w:val="bottom"/>
            <w:tcBorders>
              <w:bottom w:val="single" w:sz="8" w:color="E5FFFF"/>
            </w:tcBorders>
            <w:shd w:val="clear" w:color="auto" w:fill="E5FFFF"/>
          </w:tcPr>
          <w:p>
            <w:pPr>
              <w:spacing w:after="0"/>
              <w:rPr>
                <w:sz w:val="21"/>
                <w:szCs w:val="21"/>
                <w:color w:val="auto"/>
              </w:rPr>
            </w:pPr>
          </w:p>
        </w:tc>
        <w:tc>
          <w:tcPr>
            <w:tcW w:w="2060" w:type="dxa"/>
            <w:vAlign w:val="bottom"/>
            <w:tcBorders>
              <w:bottom w:val="single" w:sz="8" w:color="0000EE"/>
            </w:tcBorders>
            <w:gridSpan w:val="6"/>
            <w:shd w:val="clear" w:color="auto" w:fill="E5FFFF"/>
          </w:tcPr>
          <w:p>
            <w:pPr>
              <w:spacing w:after="0" w:line="216" w:lineRule="exact"/>
              <w:rPr>
                <w:rFonts w:ascii="Arial" w:cs="Arial" w:eastAsia="Arial" w:hAnsi="Arial"/>
                <w:sz w:val="19"/>
                <w:szCs w:val="19"/>
                <w:b w:val="1"/>
                <w:bCs w:val="1"/>
                <w:color w:val="0000EE"/>
                <w:w w:val="90"/>
              </w:rPr>
            </w:pPr>
            <w:hyperlink w:anchor="page23">
              <w:r>
                <w:rPr>
                  <w:rFonts w:ascii="Arial" w:cs="Arial" w:eastAsia="Arial" w:hAnsi="Arial"/>
                  <w:sz w:val="19"/>
                  <w:szCs w:val="19"/>
                  <w:b w:val="1"/>
                  <w:bCs w:val="1"/>
                  <w:color w:val="0000EE"/>
                  <w:w w:val="90"/>
                </w:rPr>
                <w:t>Executive Compensation</w:t>
              </w:r>
            </w:hyperlink>
          </w:p>
        </w:tc>
        <w:tc>
          <w:tcPr>
            <w:tcW w:w="8900" w:type="dxa"/>
            <w:vAlign w:val="bottom"/>
            <w:tcBorders>
              <w:bottom w:val="single" w:sz="8" w:color="E5FFFF"/>
            </w:tcBorders>
            <w:gridSpan w:val="49"/>
            <w:shd w:val="clear" w:color="auto" w:fill="E5FFFF"/>
          </w:tcPr>
          <w:p>
            <w:pPr>
              <w:spacing w:after="0"/>
              <w:rPr>
                <w:sz w:val="21"/>
                <w:szCs w:val="21"/>
                <w:color w:val="auto"/>
              </w:rPr>
            </w:pPr>
          </w:p>
        </w:tc>
        <w:tc>
          <w:tcPr>
            <w:tcW w:w="440" w:type="dxa"/>
            <w:vAlign w:val="bottom"/>
            <w:tcBorders>
              <w:bottom w:val="single" w:sz="8" w:color="E5FFFF"/>
            </w:tcBorders>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18</w:t>
            </w: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rFonts w:ascii="Arial" w:cs="Arial" w:eastAsia="Arial" w:hAnsi="Arial"/>
                <w:sz w:val="19"/>
                <w:szCs w:val="19"/>
                <w:color w:val="0000EE"/>
              </w:rPr>
            </w:pPr>
            <w:hyperlink w:anchor="page23">
              <w:r>
                <w:rPr>
                  <w:rFonts w:ascii="Arial" w:cs="Arial" w:eastAsia="Arial" w:hAnsi="Arial"/>
                  <w:sz w:val="19"/>
                  <w:szCs w:val="19"/>
                  <w:color w:val="0000EE"/>
                </w:rPr>
                <w:t>Compensation Discussion and Analysis</w:t>
              </w:r>
            </w:hyperlink>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18</w:t>
            </w:r>
          </w:p>
        </w:tc>
      </w:tr>
      <w:tr>
        <w:trPr>
          <w:trHeight w:val="34"/>
        </w:trPr>
        <w:tc>
          <w:tcPr>
            <w:tcW w:w="380" w:type="dxa"/>
            <w:vAlign w:val="bottom"/>
            <w:gridSpan w:val="2"/>
          </w:tcPr>
          <w:p>
            <w:pPr>
              <w:spacing w:after="0"/>
              <w:rPr>
                <w:sz w:val="2"/>
                <w:szCs w:val="2"/>
                <w:color w:val="auto"/>
              </w:rPr>
            </w:pPr>
          </w:p>
        </w:tc>
        <w:tc>
          <w:tcPr>
            <w:tcW w:w="3080" w:type="dxa"/>
            <w:vAlign w:val="bottom"/>
            <w:tcBorders>
              <w:top w:val="single" w:sz="8" w:color="0000EE"/>
            </w:tcBorders>
            <w:gridSpan w:val="30"/>
          </w:tcPr>
          <w:p>
            <w:pPr>
              <w:spacing w:after="0"/>
              <w:rPr>
                <w:sz w:val="2"/>
                <w:szCs w:val="2"/>
                <w:color w:val="auto"/>
              </w:rPr>
            </w:pPr>
          </w:p>
        </w:tc>
        <w:tc>
          <w:tcPr>
            <w:tcW w:w="7960" w:type="dxa"/>
            <w:vAlign w:val="bottom"/>
            <w:gridSpan w:val="25"/>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rFonts w:ascii="Arial" w:cs="Arial" w:eastAsia="Arial" w:hAnsi="Arial"/>
                <w:sz w:val="19"/>
                <w:szCs w:val="19"/>
                <w:color w:val="0000EE"/>
              </w:rPr>
            </w:pPr>
            <w:hyperlink w:anchor="page33">
              <w:r>
                <w:rPr>
                  <w:rFonts w:ascii="Arial" w:cs="Arial" w:eastAsia="Arial" w:hAnsi="Arial"/>
                  <w:sz w:val="19"/>
                  <w:szCs w:val="19"/>
                  <w:color w:val="0000EE"/>
                </w:rPr>
                <w:t>Compensation Committee Report</w:t>
              </w:r>
            </w:hyperlink>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28</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2600" w:type="dxa"/>
            <w:vAlign w:val="bottom"/>
            <w:tcBorders>
              <w:top w:val="single" w:sz="8" w:color="0000EE"/>
            </w:tcBorders>
            <w:gridSpan w:val="23"/>
            <w:shd w:val="clear" w:color="auto" w:fill="E5FFFF"/>
          </w:tcPr>
          <w:p>
            <w:pPr>
              <w:spacing w:after="0"/>
              <w:rPr>
                <w:sz w:val="2"/>
                <w:szCs w:val="2"/>
                <w:color w:val="auto"/>
              </w:rPr>
            </w:pPr>
          </w:p>
        </w:tc>
        <w:tc>
          <w:tcPr>
            <w:tcW w:w="8440" w:type="dxa"/>
            <w:vAlign w:val="bottom"/>
            <w:tcBorders>
              <w:top w:val="single" w:sz="8" w:color="E5FFFF"/>
            </w:tcBorders>
            <w:gridSpan w:val="32"/>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sz w:val="20"/>
                <w:szCs w:val="20"/>
                <w:color w:val="auto"/>
              </w:rPr>
            </w:pPr>
            <w:r>
              <w:rPr>
                <w:rFonts w:ascii="Arial" w:cs="Arial" w:eastAsia="Arial" w:hAnsi="Arial"/>
                <w:sz w:val="19"/>
                <w:szCs w:val="19"/>
                <w:color w:val="0000EE"/>
              </w:rPr>
              <w:t>Summary Compensation Table</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29</w:t>
            </w:r>
          </w:p>
        </w:tc>
      </w:tr>
      <w:tr>
        <w:trPr>
          <w:trHeight w:val="34"/>
        </w:trPr>
        <w:tc>
          <w:tcPr>
            <w:tcW w:w="380" w:type="dxa"/>
            <w:vAlign w:val="bottom"/>
            <w:gridSpan w:val="2"/>
          </w:tcPr>
          <w:p>
            <w:pPr>
              <w:spacing w:after="0"/>
              <w:rPr>
                <w:sz w:val="2"/>
                <w:szCs w:val="2"/>
                <w:color w:val="auto"/>
              </w:rPr>
            </w:pPr>
          </w:p>
        </w:tc>
        <w:tc>
          <w:tcPr>
            <w:tcW w:w="2400" w:type="dxa"/>
            <w:vAlign w:val="bottom"/>
            <w:tcBorders>
              <w:top w:val="single" w:sz="8" w:color="0000EE"/>
            </w:tcBorders>
            <w:gridSpan w:val="19"/>
          </w:tcPr>
          <w:p>
            <w:pPr>
              <w:spacing w:after="0"/>
              <w:rPr>
                <w:sz w:val="2"/>
                <w:szCs w:val="2"/>
                <w:color w:val="auto"/>
              </w:rPr>
            </w:pPr>
          </w:p>
        </w:tc>
        <w:tc>
          <w:tcPr>
            <w:tcW w:w="8640" w:type="dxa"/>
            <w:vAlign w:val="bottom"/>
            <w:gridSpan w:val="36"/>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960" w:type="dxa"/>
            <w:vAlign w:val="bottom"/>
            <w:gridSpan w:val="55"/>
            <w:shd w:val="clear" w:color="auto" w:fill="E5FFFF"/>
          </w:tcPr>
          <w:p>
            <w:pPr>
              <w:ind w:left="360"/>
              <w:spacing w:after="0" w:line="216" w:lineRule="exact"/>
              <w:rPr>
                <w:rFonts w:ascii="Arial" w:cs="Arial" w:eastAsia="Arial" w:hAnsi="Arial"/>
                <w:sz w:val="19"/>
                <w:szCs w:val="19"/>
                <w:color w:val="0000EE"/>
              </w:rPr>
            </w:pPr>
            <w:hyperlink w:anchor="page36">
              <w:r>
                <w:rPr>
                  <w:rFonts w:ascii="Arial" w:cs="Arial" w:eastAsia="Arial" w:hAnsi="Arial"/>
                  <w:sz w:val="19"/>
                  <w:szCs w:val="19"/>
                  <w:color w:val="0000EE"/>
                </w:rPr>
                <w:t>Grants of Plan-Based Awards</w:t>
              </w:r>
            </w:hyperlink>
          </w:p>
        </w:tc>
        <w:tc>
          <w:tcPr>
            <w:tcW w:w="440" w:type="dxa"/>
            <w:vAlign w:val="bottom"/>
            <w:shd w:val="clear" w:color="auto" w:fill="E5FFFF"/>
          </w:tcPr>
          <w:p>
            <w:pPr>
              <w:jc w:val="right"/>
              <w:ind w:right="3"/>
              <w:spacing w:after="0" w:line="216" w:lineRule="exact"/>
              <w:rPr>
                <w:sz w:val="20"/>
                <w:szCs w:val="20"/>
                <w:color w:val="auto"/>
              </w:rPr>
            </w:pPr>
            <w:r>
              <w:rPr>
                <w:rFonts w:ascii="Arial" w:cs="Arial" w:eastAsia="Arial" w:hAnsi="Arial"/>
                <w:sz w:val="19"/>
                <w:szCs w:val="19"/>
                <w:color w:val="auto"/>
              </w:rPr>
              <w:t>31</w:t>
            </w:r>
          </w:p>
        </w:tc>
      </w:tr>
      <w:tr>
        <w:trPr>
          <w:trHeight w:val="34"/>
        </w:trPr>
        <w:tc>
          <w:tcPr>
            <w:tcW w:w="380" w:type="dxa"/>
            <w:vAlign w:val="bottom"/>
            <w:tcBorders>
              <w:top w:val="single" w:sz="8" w:color="E5FFFF"/>
            </w:tcBorders>
            <w:gridSpan w:val="2"/>
            <w:shd w:val="clear" w:color="auto" w:fill="E5FFFF"/>
          </w:tcPr>
          <w:p>
            <w:pPr>
              <w:spacing w:after="0"/>
              <w:rPr>
                <w:sz w:val="2"/>
                <w:szCs w:val="2"/>
                <w:color w:val="auto"/>
              </w:rPr>
            </w:pPr>
          </w:p>
        </w:tc>
        <w:tc>
          <w:tcPr>
            <w:tcW w:w="2300" w:type="dxa"/>
            <w:vAlign w:val="bottom"/>
            <w:tcBorders>
              <w:top w:val="single" w:sz="8" w:color="0000EE"/>
            </w:tcBorders>
            <w:gridSpan w:val="16"/>
            <w:shd w:val="clear" w:color="auto" w:fill="E5FFFF"/>
          </w:tcPr>
          <w:p>
            <w:pPr>
              <w:spacing w:after="0"/>
              <w:rPr>
                <w:sz w:val="2"/>
                <w:szCs w:val="2"/>
                <w:color w:val="auto"/>
              </w:rPr>
            </w:pPr>
          </w:p>
        </w:tc>
        <w:tc>
          <w:tcPr>
            <w:tcW w:w="8740" w:type="dxa"/>
            <w:vAlign w:val="bottom"/>
            <w:tcBorders>
              <w:top w:val="single" w:sz="8" w:color="E5FFFF"/>
            </w:tcBorders>
            <w:gridSpan w:val="39"/>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960" w:type="dxa"/>
            <w:vAlign w:val="bottom"/>
            <w:gridSpan w:val="55"/>
          </w:tcPr>
          <w:p>
            <w:pPr>
              <w:ind w:left="360"/>
              <w:spacing w:after="0" w:line="216" w:lineRule="exact"/>
              <w:rPr>
                <w:sz w:val="20"/>
                <w:szCs w:val="20"/>
                <w:color w:val="auto"/>
              </w:rPr>
            </w:pPr>
            <w:r>
              <w:rPr>
                <w:rFonts w:ascii="Arial" w:cs="Arial" w:eastAsia="Arial" w:hAnsi="Arial"/>
                <w:sz w:val="19"/>
                <w:szCs w:val="19"/>
                <w:color w:val="0000EE"/>
              </w:rPr>
              <w:t>Outstanding Equity Awards at Fiscal Year-End</w:t>
            </w:r>
          </w:p>
        </w:tc>
        <w:tc>
          <w:tcPr>
            <w:tcW w:w="440" w:type="dxa"/>
            <w:vAlign w:val="bottom"/>
          </w:tcPr>
          <w:p>
            <w:pPr>
              <w:jc w:val="right"/>
              <w:ind w:right="3"/>
              <w:spacing w:after="0" w:line="216" w:lineRule="exact"/>
              <w:rPr>
                <w:sz w:val="20"/>
                <w:szCs w:val="20"/>
                <w:color w:val="auto"/>
              </w:rPr>
            </w:pPr>
            <w:r>
              <w:rPr>
                <w:rFonts w:ascii="Arial" w:cs="Arial" w:eastAsia="Arial" w:hAnsi="Arial"/>
                <w:sz w:val="19"/>
                <w:szCs w:val="19"/>
                <w:color w:val="auto"/>
              </w:rPr>
              <w:t>33</w:t>
            </w:r>
          </w:p>
        </w:tc>
      </w:tr>
      <w:tr>
        <w:trPr>
          <w:trHeight w:val="260"/>
        </w:trPr>
        <w:tc>
          <w:tcPr>
            <w:tcW w:w="380" w:type="dxa"/>
            <w:vAlign w:val="bottom"/>
            <w:tcBorders>
              <w:bottom w:val="single" w:sz="8" w:color="auto"/>
            </w:tcBorders>
            <w:gridSpan w:val="2"/>
          </w:tcPr>
          <w:p>
            <w:pPr>
              <w:spacing w:after="0"/>
              <w:rPr>
                <w:sz w:val="22"/>
                <w:szCs w:val="22"/>
                <w:color w:val="auto"/>
              </w:rPr>
            </w:pPr>
          </w:p>
        </w:tc>
        <w:tc>
          <w:tcPr>
            <w:tcW w:w="3620" w:type="dxa"/>
            <w:vAlign w:val="bottom"/>
            <w:tcBorders>
              <w:top w:val="single" w:sz="8" w:color="0000EE"/>
              <w:bottom w:val="single" w:sz="8" w:color="auto"/>
            </w:tcBorders>
            <w:gridSpan w:val="37"/>
          </w:tcPr>
          <w:p>
            <w:pPr>
              <w:spacing w:after="0"/>
              <w:rPr>
                <w:sz w:val="22"/>
                <w:szCs w:val="22"/>
                <w:color w:val="auto"/>
              </w:rPr>
            </w:pPr>
          </w:p>
        </w:tc>
        <w:tc>
          <w:tcPr>
            <w:tcW w:w="7420" w:type="dxa"/>
            <w:vAlign w:val="bottom"/>
            <w:tcBorders>
              <w:bottom w:val="single" w:sz="8" w:color="auto"/>
            </w:tcBorders>
            <w:gridSpan w:val="18"/>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 w:right="239" w:bottom="221"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Page</w:t>
            </w:r>
          </w:p>
        </w:tc>
      </w:tr>
      <w:tr>
        <w:trPr>
          <w:trHeight w:val="214"/>
        </w:trPr>
        <w:tc>
          <w:tcPr>
            <w:tcW w:w="20" w:type="dxa"/>
            <w:vAlign w:val="bottom"/>
            <w:shd w:val="clear" w:color="auto" w:fill="E5FFFF"/>
          </w:tcPr>
          <w:p>
            <w:pPr>
              <w:spacing w:after="0"/>
              <w:rPr>
                <w:sz w:val="18"/>
                <w:szCs w:val="18"/>
                <w:color w:val="auto"/>
              </w:rPr>
            </w:pPr>
          </w:p>
        </w:tc>
        <w:tc>
          <w:tcPr>
            <w:tcW w:w="10860" w:type="dxa"/>
            <w:vAlign w:val="bottom"/>
            <w:gridSpan w:val="26"/>
            <w:shd w:val="clear" w:color="auto" w:fill="E5FFFF"/>
          </w:tcPr>
          <w:p>
            <w:pPr>
              <w:ind w:left="360"/>
              <w:spacing w:after="0" w:line="214" w:lineRule="exact"/>
              <w:rPr>
                <w:sz w:val="20"/>
                <w:szCs w:val="20"/>
                <w:color w:val="auto"/>
              </w:rPr>
            </w:pPr>
            <w:r>
              <w:rPr>
                <w:rFonts w:ascii="Arial" w:cs="Arial" w:eastAsia="Arial" w:hAnsi="Arial"/>
                <w:sz w:val="19"/>
                <w:szCs w:val="19"/>
                <w:color w:val="0000EE"/>
              </w:rPr>
              <w:t>Option Exercises and Stock Vested</w:t>
            </w:r>
          </w:p>
        </w:tc>
        <w:tc>
          <w:tcPr>
            <w:tcW w:w="540" w:type="dxa"/>
            <w:vAlign w:val="bottom"/>
            <w:shd w:val="clear" w:color="auto" w:fill="E5FFFF"/>
          </w:tcPr>
          <w:p>
            <w:pPr>
              <w:jc w:val="right"/>
              <w:ind w:right="4"/>
              <w:spacing w:after="0" w:line="214" w:lineRule="exact"/>
              <w:rPr>
                <w:sz w:val="20"/>
                <w:szCs w:val="20"/>
                <w:color w:val="auto"/>
              </w:rPr>
            </w:pPr>
            <w:r>
              <w:rPr>
                <w:rFonts w:ascii="Arial" w:cs="Arial" w:eastAsia="Arial" w:hAnsi="Arial"/>
                <w:sz w:val="19"/>
                <w:szCs w:val="19"/>
                <w:color w:val="auto"/>
              </w:rPr>
              <w:t>35</w:t>
            </w:r>
          </w:p>
        </w:tc>
      </w:tr>
      <w:tr>
        <w:trPr>
          <w:trHeight w:val="34"/>
        </w:trPr>
        <w:tc>
          <w:tcPr>
            <w:tcW w:w="20" w:type="dxa"/>
            <w:vAlign w:val="bottom"/>
            <w:tcBorders>
              <w:top w:val="single" w:sz="8" w:color="E5FFFF"/>
            </w:tcBorders>
            <w:shd w:val="clear" w:color="auto" w:fill="E5FFFF"/>
          </w:tcPr>
          <w:p>
            <w:pPr>
              <w:spacing w:after="0"/>
              <w:rPr>
                <w:sz w:val="2"/>
                <w:szCs w:val="2"/>
                <w:color w:val="auto"/>
              </w:rPr>
            </w:pPr>
          </w:p>
        </w:tc>
        <w:tc>
          <w:tcPr>
            <w:tcW w:w="360" w:type="dxa"/>
            <w:vAlign w:val="bottom"/>
            <w:tcBorders>
              <w:top w:val="single" w:sz="8" w:color="E5FFFF"/>
            </w:tcBorders>
            <w:shd w:val="clear" w:color="auto" w:fill="E5FFFF"/>
          </w:tcPr>
          <w:p>
            <w:pPr>
              <w:spacing w:after="0"/>
              <w:rPr>
                <w:sz w:val="2"/>
                <w:szCs w:val="2"/>
                <w:color w:val="auto"/>
              </w:rPr>
            </w:pPr>
          </w:p>
        </w:tc>
        <w:tc>
          <w:tcPr>
            <w:tcW w:w="360" w:type="dxa"/>
            <w:vAlign w:val="bottom"/>
            <w:tcBorders>
              <w:top w:val="single" w:sz="8" w:color="0000EE"/>
            </w:tcBorders>
            <w:shd w:val="clear" w:color="auto" w:fill="E5FFFF"/>
          </w:tcPr>
          <w:p>
            <w:pPr>
              <w:spacing w:after="0"/>
              <w:rPr>
                <w:sz w:val="2"/>
                <w:szCs w:val="2"/>
                <w:color w:val="auto"/>
              </w:rPr>
            </w:pPr>
          </w:p>
        </w:tc>
        <w:tc>
          <w:tcPr>
            <w:tcW w:w="280" w:type="dxa"/>
            <w:vAlign w:val="bottom"/>
            <w:tcBorders>
              <w:top w:val="single" w:sz="8" w:color="0000EE"/>
            </w:tcBorders>
            <w:shd w:val="clear" w:color="auto" w:fill="E5FFFF"/>
          </w:tcPr>
          <w:p>
            <w:pPr>
              <w:spacing w:after="0"/>
              <w:rPr>
                <w:sz w:val="2"/>
                <w:szCs w:val="2"/>
                <w:color w:val="auto"/>
              </w:rPr>
            </w:pPr>
          </w:p>
        </w:tc>
        <w:tc>
          <w:tcPr>
            <w:tcW w:w="360" w:type="dxa"/>
            <w:vAlign w:val="bottom"/>
            <w:tcBorders>
              <w:top w:val="single" w:sz="8" w:color="0000EE"/>
            </w:tcBorders>
            <w:shd w:val="clear" w:color="auto" w:fill="E5FFFF"/>
          </w:tcPr>
          <w:p>
            <w:pPr>
              <w:spacing w:after="0"/>
              <w:rPr>
                <w:sz w:val="2"/>
                <w:szCs w:val="2"/>
                <w:color w:val="auto"/>
              </w:rPr>
            </w:pPr>
          </w:p>
        </w:tc>
        <w:tc>
          <w:tcPr>
            <w:tcW w:w="4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160" w:type="dxa"/>
            <w:vAlign w:val="bottom"/>
            <w:tcBorders>
              <w:top w:val="single" w:sz="8" w:color="0000EE"/>
            </w:tcBorders>
            <w:shd w:val="clear" w:color="auto" w:fill="E5FFFF"/>
          </w:tcPr>
          <w:p>
            <w:pPr>
              <w:spacing w:after="0"/>
              <w:rPr>
                <w:sz w:val="2"/>
                <w:szCs w:val="2"/>
                <w:color w:val="auto"/>
              </w:rPr>
            </w:pPr>
          </w:p>
        </w:tc>
        <w:tc>
          <w:tcPr>
            <w:tcW w:w="20" w:type="dxa"/>
            <w:vAlign w:val="bottom"/>
            <w:tcBorders>
              <w:top w:val="single" w:sz="8" w:color="0000EE"/>
            </w:tcBorders>
            <w:shd w:val="clear" w:color="auto" w:fill="E5FFFF"/>
          </w:tcPr>
          <w:p>
            <w:pPr>
              <w:spacing w:after="0"/>
              <w:rPr>
                <w:sz w:val="2"/>
                <w:szCs w:val="2"/>
                <w:color w:val="auto"/>
              </w:rPr>
            </w:pPr>
          </w:p>
        </w:tc>
        <w:tc>
          <w:tcPr>
            <w:tcW w:w="20" w:type="dxa"/>
            <w:vAlign w:val="bottom"/>
            <w:tcBorders>
              <w:top w:val="single" w:sz="8" w:color="0000EE"/>
            </w:tcBorders>
            <w:shd w:val="clear" w:color="auto" w:fill="E5FFFF"/>
          </w:tcPr>
          <w:p>
            <w:pPr>
              <w:spacing w:after="0"/>
              <w:rPr>
                <w:sz w:val="2"/>
                <w:szCs w:val="2"/>
                <w:color w:val="auto"/>
              </w:rPr>
            </w:pPr>
          </w:p>
        </w:tc>
        <w:tc>
          <w:tcPr>
            <w:tcW w:w="500" w:type="dxa"/>
            <w:vAlign w:val="bottom"/>
            <w:tcBorders>
              <w:top w:val="single" w:sz="8" w:color="0000EE"/>
            </w:tcBorders>
            <w:shd w:val="clear" w:color="auto" w:fill="E5FFFF"/>
          </w:tcPr>
          <w:p>
            <w:pPr>
              <w:spacing w:after="0"/>
              <w:rPr>
                <w:sz w:val="2"/>
                <w:szCs w:val="2"/>
                <w:color w:val="auto"/>
              </w:rPr>
            </w:pPr>
          </w:p>
        </w:tc>
        <w:tc>
          <w:tcPr>
            <w:tcW w:w="100" w:type="dxa"/>
            <w:vAlign w:val="bottom"/>
            <w:tcBorders>
              <w:top w:val="single" w:sz="8" w:color="0000EE"/>
            </w:tcBorders>
            <w:shd w:val="clear" w:color="auto" w:fill="E5FFFF"/>
          </w:tcPr>
          <w:p>
            <w:pPr>
              <w:spacing w:after="0"/>
              <w:rPr>
                <w:sz w:val="2"/>
                <w:szCs w:val="2"/>
                <w:color w:val="auto"/>
              </w:rPr>
            </w:pPr>
          </w:p>
        </w:tc>
        <w:tc>
          <w:tcPr>
            <w:tcW w:w="6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280" w:type="dxa"/>
            <w:vAlign w:val="bottom"/>
            <w:tcBorders>
              <w:top w:val="single" w:sz="8" w:color="0000EE"/>
            </w:tcBorders>
            <w:shd w:val="clear" w:color="auto" w:fill="E5FFFF"/>
          </w:tcPr>
          <w:p>
            <w:pPr>
              <w:spacing w:after="0"/>
              <w:rPr>
                <w:sz w:val="2"/>
                <w:szCs w:val="2"/>
                <w:color w:val="auto"/>
              </w:rPr>
            </w:pPr>
          </w:p>
        </w:tc>
        <w:tc>
          <w:tcPr>
            <w:tcW w:w="40" w:type="dxa"/>
            <w:vAlign w:val="bottom"/>
            <w:tcBorders>
              <w:top w:val="single" w:sz="8" w:color="0000EE"/>
            </w:tcBorders>
            <w:shd w:val="clear" w:color="auto" w:fill="E5FFFF"/>
          </w:tcPr>
          <w:p>
            <w:pPr>
              <w:spacing w:after="0"/>
              <w:rPr>
                <w:sz w:val="2"/>
                <w:szCs w:val="2"/>
                <w:color w:val="auto"/>
              </w:rPr>
            </w:pPr>
          </w:p>
        </w:tc>
        <w:tc>
          <w:tcPr>
            <w:tcW w:w="340" w:type="dxa"/>
            <w:vAlign w:val="bottom"/>
            <w:tcBorders>
              <w:top w:val="single" w:sz="8" w:color="0000EE"/>
            </w:tcBorders>
            <w:shd w:val="clear" w:color="auto" w:fill="E5FFFF"/>
          </w:tcPr>
          <w:p>
            <w:pPr>
              <w:spacing w:after="0"/>
              <w:rPr>
                <w:sz w:val="2"/>
                <w:szCs w:val="2"/>
                <w:color w:val="auto"/>
              </w:rPr>
            </w:pPr>
          </w:p>
        </w:tc>
        <w:tc>
          <w:tcPr>
            <w:tcW w:w="20" w:type="dxa"/>
            <w:vAlign w:val="bottom"/>
            <w:tcBorders>
              <w:top w:val="single" w:sz="8" w:color="E5FFFF"/>
            </w:tcBorders>
            <w:shd w:val="clear" w:color="auto" w:fill="E5FFFF"/>
          </w:tcPr>
          <w:p>
            <w:pPr>
              <w:spacing w:after="0"/>
              <w:rPr>
                <w:sz w:val="2"/>
                <w:szCs w:val="2"/>
                <w:color w:val="auto"/>
              </w:rPr>
            </w:pPr>
          </w:p>
        </w:tc>
        <w:tc>
          <w:tcPr>
            <w:tcW w:w="200" w:type="dxa"/>
            <w:vAlign w:val="bottom"/>
            <w:tcBorders>
              <w:top w:val="single" w:sz="8" w:color="E5FFFF"/>
            </w:tcBorders>
            <w:shd w:val="clear" w:color="auto" w:fill="E5FFFF"/>
          </w:tcPr>
          <w:p>
            <w:pPr>
              <w:spacing w:after="0"/>
              <w:rPr>
                <w:sz w:val="2"/>
                <w:szCs w:val="2"/>
                <w:color w:val="auto"/>
              </w:rPr>
            </w:pPr>
          </w:p>
        </w:tc>
        <w:tc>
          <w:tcPr>
            <w:tcW w:w="640" w:type="dxa"/>
            <w:vAlign w:val="bottom"/>
            <w:tcBorders>
              <w:top w:val="single" w:sz="8" w:color="E5FFFF"/>
            </w:tcBorders>
            <w:shd w:val="clear" w:color="auto" w:fill="E5FFFF"/>
          </w:tcPr>
          <w:p>
            <w:pPr>
              <w:spacing w:after="0"/>
              <w:rPr>
                <w:sz w:val="2"/>
                <w:szCs w:val="2"/>
                <w:color w:val="auto"/>
              </w:rPr>
            </w:pPr>
          </w:p>
        </w:tc>
        <w:tc>
          <w:tcPr>
            <w:tcW w:w="500" w:type="dxa"/>
            <w:vAlign w:val="bottom"/>
            <w:tcBorders>
              <w:top w:val="single" w:sz="8" w:color="E5FFFF"/>
            </w:tcBorders>
            <w:shd w:val="clear" w:color="auto" w:fill="E5FFFF"/>
          </w:tcPr>
          <w:p>
            <w:pPr>
              <w:spacing w:after="0"/>
              <w:rPr>
                <w:sz w:val="2"/>
                <w:szCs w:val="2"/>
                <w:color w:val="auto"/>
              </w:rPr>
            </w:pPr>
          </w:p>
        </w:tc>
        <w:tc>
          <w:tcPr>
            <w:tcW w:w="280" w:type="dxa"/>
            <w:vAlign w:val="bottom"/>
            <w:tcBorders>
              <w:top w:val="single" w:sz="8" w:color="E5FFFF"/>
            </w:tcBorders>
            <w:shd w:val="clear" w:color="auto" w:fill="E5FFFF"/>
          </w:tcPr>
          <w:p>
            <w:pPr>
              <w:spacing w:after="0"/>
              <w:rPr>
                <w:sz w:val="2"/>
                <w:szCs w:val="2"/>
                <w:color w:val="auto"/>
              </w:rPr>
            </w:pPr>
          </w:p>
        </w:tc>
        <w:tc>
          <w:tcPr>
            <w:tcW w:w="260" w:type="dxa"/>
            <w:vAlign w:val="bottom"/>
            <w:tcBorders>
              <w:top w:val="single" w:sz="8" w:color="E5FFFF"/>
            </w:tcBorders>
            <w:shd w:val="clear" w:color="auto" w:fill="E5FFFF"/>
          </w:tcPr>
          <w:p>
            <w:pPr>
              <w:spacing w:after="0"/>
              <w:rPr>
                <w:sz w:val="2"/>
                <w:szCs w:val="2"/>
                <w:color w:val="auto"/>
              </w:rPr>
            </w:pPr>
          </w:p>
        </w:tc>
        <w:tc>
          <w:tcPr>
            <w:tcW w:w="860" w:type="dxa"/>
            <w:vAlign w:val="bottom"/>
            <w:tcBorders>
              <w:top w:val="single" w:sz="8" w:color="E5FFFF"/>
            </w:tcBorders>
            <w:shd w:val="clear" w:color="auto" w:fill="E5FFFF"/>
          </w:tcPr>
          <w:p>
            <w:pPr>
              <w:spacing w:after="0"/>
              <w:rPr>
                <w:sz w:val="2"/>
                <w:szCs w:val="2"/>
                <w:color w:val="auto"/>
              </w:rPr>
            </w:pPr>
          </w:p>
        </w:tc>
        <w:tc>
          <w:tcPr>
            <w:tcW w:w="180" w:type="dxa"/>
            <w:vAlign w:val="bottom"/>
            <w:tcBorders>
              <w:top w:val="single" w:sz="8" w:color="E5FFFF"/>
            </w:tcBorders>
            <w:shd w:val="clear" w:color="auto" w:fill="E5FFFF"/>
          </w:tcPr>
          <w:p>
            <w:pPr>
              <w:spacing w:after="0"/>
              <w:rPr>
                <w:sz w:val="2"/>
                <w:szCs w:val="2"/>
                <w:color w:val="auto"/>
              </w:rPr>
            </w:pPr>
          </w:p>
        </w:tc>
        <w:tc>
          <w:tcPr>
            <w:tcW w:w="2720" w:type="dxa"/>
            <w:vAlign w:val="bottom"/>
            <w:tcBorders>
              <w:top w:val="single" w:sz="8" w:color="E5FFFF"/>
            </w:tcBorders>
            <w:shd w:val="clear" w:color="auto" w:fill="E5FFFF"/>
          </w:tcPr>
          <w:p>
            <w:pPr>
              <w:spacing w:after="0"/>
              <w:rPr>
                <w:sz w:val="2"/>
                <w:szCs w:val="2"/>
                <w:color w:val="auto"/>
              </w:rPr>
            </w:pPr>
          </w:p>
        </w:tc>
        <w:tc>
          <w:tcPr>
            <w:tcW w:w="2120" w:type="dxa"/>
            <w:vAlign w:val="bottom"/>
            <w:tcBorders>
              <w:top w:val="single" w:sz="8" w:color="E5FFFF"/>
            </w:tcBorders>
            <w:shd w:val="clear" w:color="auto" w:fill="E5FFFF"/>
          </w:tcPr>
          <w:p>
            <w:pPr>
              <w:spacing w:after="0"/>
              <w:rPr>
                <w:sz w:val="2"/>
                <w:szCs w:val="2"/>
                <w:color w:val="auto"/>
              </w:rPr>
            </w:pPr>
          </w:p>
        </w:tc>
        <w:tc>
          <w:tcPr>
            <w:tcW w:w="540" w:type="dxa"/>
            <w:vAlign w:val="bottom"/>
            <w:tcBorders>
              <w:top w:val="single" w:sz="8" w:color="E5FFFF"/>
            </w:tcBorders>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860" w:type="dxa"/>
            <w:vAlign w:val="bottom"/>
            <w:gridSpan w:val="26"/>
          </w:tcPr>
          <w:p>
            <w:pPr>
              <w:ind w:left="360"/>
              <w:spacing w:after="0" w:line="216" w:lineRule="exact"/>
              <w:rPr>
                <w:rFonts w:ascii="Arial" w:cs="Arial" w:eastAsia="Arial" w:hAnsi="Arial"/>
                <w:sz w:val="19"/>
                <w:szCs w:val="19"/>
                <w:color w:val="0000EE"/>
              </w:rPr>
            </w:pPr>
            <w:hyperlink w:anchor="page43">
              <w:r>
                <w:rPr>
                  <w:rFonts w:ascii="Arial" w:cs="Arial" w:eastAsia="Arial" w:hAnsi="Arial"/>
                  <w:sz w:val="19"/>
                  <w:szCs w:val="19"/>
                  <w:color w:val="0000EE"/>
                </w:rPr>
                <w:t>Employment Agreements</w:t>
              </w:r>
            </w:hyperlink>
          </w:p>
        </w:tc>
        <w:tc>
          <w:tcPr>
            <w:tcW w:w="540" w:type="dxa"/>
            <w:vAlign w:val="bottom"/>
          </w:tcPr>
          <w:p>
            <w:pPr>
              <w:jc w:val="right"/>
              <w:ind w:right="4"/>
              <w:spacing w:after="0" w:line="216" w:lineRule="exact"/>
              <w:rPr>
                <w:sz w:val="20"/>
                <w:szCs w:val="20"/>
                <w:color w:val="auto"/>
              </w:rPr>
            </w:pPr>
            <w:r>
              <w:rPr>
                <w:rFonts w:ascii="Arial" w:cs="Arial" w:eastAsia="Arial" w:hAnsi="Arial"/>
                <w:sz w:val="19"/>
                <w:szCs w:val="19"/>
                <w:color w:val="auto"/>
              </w:rPr>
              <w:t>36</w:t>
            </w: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tcBorders>
              <w:bottom w:val="single" w:sz="8" w:color="E5FFFF"/>
            </w:tcBorders>
            <w:shd w:val="clear" w:color="auto" w:fill="E5FFFF"/>
          </w:tcPr>
          <w:p>
            <w:pPr>
              <w:spacing w:after="0"/>
              <w:rPr>
                <w:sz w:val="21"/>
                <w:szCs w:val="21"/>
                <w:color w:val="auto"/>
              </w:rPr>
            </w:pPr>
          </w:p>
        </w:tc>
        <w:tc>
          <w:tcPr>
            <w:tcW w:w="360" w:type="dxa"/>
            <w:vAlign w:val="bottom"/>
            <w:tcBorders>
              <w:bottom w:val="single" w:sz="8" w:color="E5FFFF"/>
            </w:tcBorders>
            <w:shd w:val="clear" w:color="auto" w:fill="E5FFFF"/>
          </w:tcPr>
          <w:p>
            <w:pPr>
              <w:spacing w:after="0"/>
              <w:rPr>
                <w:sz w:val="21"/>
                <w:szCs w:val="21"/>
                <w:color w:val="auto"/>
              </w:rPr>
            </w:pPr>
          </w:p>
        </w:tc>
        <w:tc>
          <w:tcPr>
            <w:tcW w:w="360" w:type="dxa"/>
            <w:vAlign w:val="bottom"/>
            <w:tcBorders>
              <w:bottom w:val="single" w:sz="8" w:color="E5FFFF"/>
            </w:tcBorders>
            <w:shd w:val="clear" w:color="auto" w:fill="E5FFFF"/>
          </w:tcPr>
          <w:p>
            <w:pPr>
              <w:spacing w:after="0"/>
              <w:rPr>
                <w:sz w:val="21"/>
                <w:szCs w:val="21"/>
                <w:color w:val="auto"/>
              </w:rPr>
            </w:pPr>
          </w:p>
        </w:tc>
        <w:tc>
          <w:tcPr>
            <w:tcW w:w="680" w:type="dxa"/>
            <w:vAlign w:val="bottom"/>
            <w:tcBorders>
              <w:bottom w:val="single" w:sz="8" w:color="0000EE"/>
            </w:tcBorders>
            <w:gridSpan w:val="3"/>
            <w:shd w:val="clear" w:color="auto" w:fill="E5FFFF"/>
          </w:tcPr>
          <w:p>
            <w:pPr>
              <w:spacing w:after="0" w:line="216" w:lineRule="exact"/>
              <w:rPr>
                <w:sz w:val="20"/>
                <w:szCs w:val="20"/>
                <w:color w:val="auto"/>
              </w:rPr>
            </w:pPr>
            <w:r>
              <w:rPr>
                <w:rFonts w:ascii="Arial" w:cs="Arial" w:eastAsia="Arial" w:hAnsi="Arial"/>
                <w:sz w:val="19"/>
                <w:szCs w:val="19"/>
                <w:color w:val="0000EE"/>
                <w:w w:val="90"/>
              </w:rPr>
              <w:t>M. Serra</w:t>
            </w:r>
          </w:p>
        </w:tc>
        <w:tc>
          <w:tcPr>
            <w:tcW w:w="9460" w:type="dxa"/>
            <w:vAlign w:val="bottom"/>
            <w:tcBorders>
              <w:bottom w:val="single" w:sz="8" w:color="E5FFFF"/>
            </w:tcBorders>
            <w:gridSpan w:val="21"/>
            <w:shd w:val="clear" w:color="auto" w:fill="E5FFFF"/>
          </w:tcPr>
          <w:p>
            <w:pPr>
              <w:spacing w:after="0"/>
              <w:rPr>
                <w:sz w:val="21"/>
                <w:szCs w:val="21"/>
                <w:color w:val="auto"/>
              </w:rPr>
            </w:pPr>
          </w:p>
        </w:tc>
        <w:tc>
          <w:tcPr>
            <w:tcW w:w="540" w:type="dxa"/>
            <w:vAlign w:val="bottom"/>
            <w:tcBorders>
              <w:bottom w:val="single" w:sz="8" w:color="E5FFFF"/>
            </w:tcBorders>
            <w:shd w:val="clear" w:color="auto" w:fill="E5FFFF"/>
          </w:tcPr>
          <w:p>
            <w:pPr>
              <w:jc w:val="right"/>
              <w:ind w:right="4"/>
              <w:spacing w:after="0" w:line="216" w:lineRule="exact"/>
              <w:rPr>
                <w:sz w:val="20"/>
                <w:szCs w:val="20"/>
                <w:color w:val="auto"/>
              </w:rPr>
            </w:pPr>
            <w:r>
              <w:rPr>
                <w:rFonts w:ascii="Arial" w:cs="Arial" w:eastAsia="Arial" w:hAnsi="Arial"/>
                <w:sz w:val="19"/>
                <w:szCs w:val="19"/>
                <w:color w:val="auto"/>
              </w:rPr>
              <w:t>36</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40" w:type="dxa"/>
            <w:vAlign w:val="bottom"/>
            <w:gridSpan w:val="24"/>
          </w:tcPr>
          <w:p>
            <w:pPr>
              <w:spacing w:after="0" w:line="216" w:lineRule="exact"/>
              <w:rPr>
                <w:sz w:val="20"/>
                <w:szCs w:val="20"/>
                <w:color w:val="auto"/>
              </w:rPr>
            </w:pPr>
            <w:r>
              <w:rPr>
                <w:rFonts w:ascii="Arial" w:cs="Arial" w:eastAsia="Arial" w:hAnsi="Arial"/>
                <w:sz w:val="19"/>
                <w:szCs w:val="19"/>
                <w:color w:val="0000EE"/>
              </w:rPr>
              <w:t>R. Mina, R. Halls, G. Bahler, R. McHugh</w:t>
            </w:r>
          </w:p>
        </w:tc>
        <w:tc>
          <w:tcPr>
            <w:tcW w:w="540" w:type="dxa"/>
            <w:vAlign w:val="bottom"/>
          </w:tcPr>
          <w:p>
            <w:pPr>
              <w:jc w:val="right"/>
              <w:ind w:right="4"/>
              <w:spacing w:after="0" w:line="216" w:lineRule="exact"/>
              <w:rPr>
                <w:sz w:val="20"/>
                <w:szCs w:val="20"/>
                <w:color w:val="auto"/>
              </w:rPr>
            </w:pPr>
            <w:r>
              <w:rPr>
                <w:rFonts w:ascii="Arial" w:cs="Arial" w:eastAsia="Arial" w:hAnsi="Arial"/>
                <w:sz w:val="19"/>
                <w:szCs w:val="19"/>
                <w:color w:val="auto"/>
              </w:rPr>
              <w:t>37</w:t>
            </w: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shd w:val="clear" w:color="auto" w:fill="E5FFFF"/>
          </w:tcPr>
          <w:p>
            <w:pPr>
              <w:spacing w:after="0"/>
              <w:rPr>
                <w:sz w:val="21"/>
                <w:szCs w:val="21"/>
                <w:color w:val="auto"/>
              </w:rPr>
            </w:pPr>
          </w:p>
        </w:tc>
        <w:tc>
          <w:tcPr>
            <w:tcW w:w="10860" w:type="dxa"/>
            <w:vAlign w:val="bottom"/>
            <w:gridSpan w:val="26"/>
            <w:shd w:val="clear" w:color="auto" w:fill="E5FFFF"/>
          </w:tcPr>
          <w:p>
            <w:pPr>
              <w:ind w:left="360"/>
              <w:spacing w:after="0" w:line="216" w:lineRule="exact"/>
              <w:rPr>
                <w:sz w:val="20"/>
                <w:szCs w:val="20"/>
                <w:color w:val="auto"/>
              </w:rPr>
            </w:pPr>
            <w:r>
              <w:rPr>
                <w:rFonts w:ascii="Arial" w:cs="Arial" w:eastAsia="Arial" w:hAnsi="Arial"/>
                <w:sz w:val="19"/>
                <w:szCs w:val="19"/>
                <w:color w:val="0000EE"/>
              </w:rPr>
              <w:t>Potential Payments upon Termination or Change in Control</w:t>
            </w:r>
          </w:p>
        </w:tc>
        <w:tc>
          <w:tcPr>
            <w:tcW w:w="540" w:type="dxa"/>
            <w:vAlign w:val="bottom"/>
            <w:shd w:val="clear" w:color="auto" w:fill="E5FFFF"/>
          </w:tcPr>
          <w:p>
            <w:pPr>
              <w:jc w:val="right"/>
              <w:ind w:right="4"/>
              <w:spacing w:after="0" w:line="216" w:lineRule="exact"/>
              <w:rPr>
                <w:sz w:val="20"/>
                <w:szCs w:val="20"/>
                <w:color w:val="auto"/>
              </w:rPr>
            </w:pPr>
            <w:r>
              <w:rPr>
                <w:rFonts w:ascii="Arial" w:cs="Arial" w:eastAsia="Arial" w:hAnsi="Arial"/>
                <w:sz w:val="19"/>
                <w:szCs w:val="19"/>
                <w:color w:val="auto"/>
              </w:rPr>
              <w:t>39</w:t>
            </w:r>
          </w:p>
        </w:tc>
      </w:tr>
      <w:tr>
        <w:trPr>
          <w:trHeight w:val="216"/>
        </w:trPr>
        <w:tc>
          <w:tcPr>
            <w:tcW w:w="20" w:type="dxa"/>
            <w:vAlign w:val="bottom"/>
            <w:tcBorders>
              <w:top w:val="single" w:sz="8" w:color="E5FFFF"/>
            </w:tcBorders>
          </w:tcPr>
          <w:p>
            <w:pPr>
              <w:spacing w:after="0"/>
              <w:rPr>
                <w:sz w:val="18"/>
                <w:szCs w:val="18"/>
                <w:color w:val="auto"/>
              </w:rPr>
            </w:pPr>
          </w:p>
        </w:tc>
        <w:tc>
          <w:tcPr>
            <w:tcW w:w="360" w:type="dxa"/>
            <w:vAlign w:val="bottom"/>
            <w:tcBorders>
              <w:top w:val="single" w:sz="8" w:color="E5FF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60" w:type="dxa"/>
            <w:vAlign w:val="bottom"/>
            <w:tcBorders>
              <w:top w:val="single" w:sz="8" w:color="0000EE"/>
            </w:tcBorders>
            <w:gridSpan w:val="20"/>
          </w:tcPr>
          <w:p>
            <w:pPr>
              <w:spacing w:after="0" w:line="216" w:lineRule="exact"/>
              <w:rPr>
                <w:sz w:val="20"/>
                <w:szCs w:val="20"/>
                <w:color w:val="auto"/>
              </w:rPr>
            </w:pPr>
            <w:r>
              <w:rPr>
                <w:rFonts w:ascii="Arial" w:cs="Arial" w:eastAsia="Arial" w:hAnsi="Arial"/>
                <w:sz w:val="19"/>
                <w:szCs w:val="19"/>
                <w:color w:val="0000EE"/>
              </w:rPr>
              <w:t>M. Serra</w:t>
            </w:r>
          </w:p>
        </w:tc>
        <w:tc>
          <w:tcPr>
            <w:tcW w:w="5880" w:type="dxa"/>
            <w:vAlign w:val="bottom"/>
            <w:tcBorders>
              <w:top w:val="single" w:sz="8" w:color="E5FFFF"/>
            </w:tcBorders>
            <w:gridSpan w:val="4"/>
          </w:tcPr>
          <w:p>
            <w:pPr>
              <w:spacing w:after="0"/>
              <w:rPr>
                <w:sz w:val="18"/>
                <w:szCs w:val="18"/>
                <w:color w:val="auto"/>
              </w:rPr>
            </w:pPr>
          </w:p>
        </w:tc>
        <w:tc>
          <w:tcPr>
            <w:tcW w:w="540" w:type="dxa"/>
            <w:vAlign w:val="bottom"/>
            <w:tcBorders>
              <w:top w:val="single" w:sz="8" w:color="E5FFFF"/>
            </w:tcBorders>
          </w:tcPr>
          <w:p>
            <w:pPr>
              <w:jc w:val="right"/>
              <w:ind w:right="4"/>
              <w:spacing w:after="0" w:line="216" w:lineRule="exact"/>
              <w:rPr>
                <w:sz w:val="20"/>
                <w:szCs w:val="20"/>
                <w:color w:val="auto"/>
              </w:rPr>
            </w:pPr>
            <w:r>
              <w:rPr>
                <w:rFonts w:ascii="Arial" w:cs="Arial" w:eastAsia="Arial" w:hAnsi="Arial"/>
                <w:sz w:val="19"/>
                <w:szCs w:val="19"/>
                <w:color w:val="auto"/>
              </w:rPr>
              <w:t>39</w:t>
            </w: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tcBorders>
              <w:bottom w:val="single" w:sz="8" w:color="E5FFFF"/>
            </w:tcBorders>
            <w:shd w:val="clear" w:color="auto" w:fill="E5FFFF"/>
          </w:tcPr>
          <w:p>
            <w:pPr>
              <w:spacing w:after="0"/>
              <w:rPr>
                <w:sz w:val="21"/>
                <w:szCs w:val="21"/>
                <w:color w:val="auto"/>
              </w:rPr>
            </w:pPr>
          </w:p>
        </w:tc>
        <w:tc>
          <w:tcPr>
            <w:tcW w:w="360" w:type="dxa"/>
            <w:vAlign w:val="bottom"/>
            <w:tcBorders>
              <w:bottom w:val="single" w:sz="8" w:color="E5FFFF"/>
            </w:tcBorders>
            <w:shd w:val="clear" w:color="auto" w:fill="E5FFFF"/>
          </w:tcPr>
          <w:p>
            <w:pPr>
              <w:spacing w:after="0"/>
              <w:rPr>
                <w:sz w:val="21"/>
                <w:szCs w:val="21"/>
                <w:color w:val="auto"/>
              </w:rPr>
            </w:pPr>
          </w:p>
        </w:tc>
        <w:tc>
          <w:tcPr>
            <w:tcW w:w="360" w:type="dxa"/>
            <w:vAlign w:val="bottom"/>
            <w:tcBorders>
              <w:bottom w:val="single" w:sz="8" w:color="E5FFFF"/>
            </w:tcBorders>
            <w:shd w:val="clear" w:color="auto" w:fill="E5FFFF"/>
          </w:tcPr>
          <w:p>
            <w:pPr>
              <w:spacing w:after="0"/>
              <w:rPr>
                <w:sz w:val="21"/>
                <w:szCs w:val="21"/>
                <w:color w:val="auto"/>
              </w:rPr>
            </w:pPr>
          </w:p>
        </w:tc>
        <w:tc>
          <w:tcPr>
            <w:tcW w:w="640" w:type="dxa"/>
            <w:vAlign w:val="bottom"/>
            <w:tcBorders>
              <w:bottom w:val="single" w:sz="8" w:color="0000EE"/>
            </w:tcBorders>
            <w:gridSpan w:val="2"/>
            <w:shd w:val="clear" w:color="auto" w:fill="E5FFFF"/>
          </w:tcPr>
          <w:p>
            <w:pPr>
              <w:spacing w:after="0" w:line="216" w:lineRule="exact"/>
              <w:rPr>
                <w:sz w:val="20"/>
                <w:szCs w:val="20"/>
                <w:color w:val="auto"/>
              </w:rPr>
            </w:pPr>
            <w:r>
              <w:rPr>
                <w:rFonts w:ascii="Arial" w:cs="Arial" w:eastAsia="Arial" w:hAnsi="Arial"/>
                <w:sz w:val="19"/>
                <w:szCs w:val="19"/>
                <w:color w:val="0000EE"/>
                <w:w w:val="94"/>
              </w:rPr>
              <w:t>R. Mina</w:t>
            </w:r>
          </w:p>
        </w:tc>
        <w:tc>
          <w:tcPr>
            <w:tcW w:w="9500" w:type="dxa"/>
            <w:vAlign w:val="bottom"/>
            <w:tcBorders>
              <w:bottom w:val="single" w:sz="8" w:color="E5FFFF"/>
            </w:tcBorders>
            <w:gridSpan w:val="22"/>
            <w:shd w:val="clear" w:color="auto" w:fill="E5FFFF"/>
          </w:tcPr>
          <w:p>
            <w:pPr>
              <w:spacing w:after="0"/>
              <w:rPr>
                <w:sz w:val="21"/>
                <w:szCs w:val="21"/>
                <w:color w:val="auto"/>
              </w:rPr>
            </w:pPr>
          </w:p>
        </w:tc>
        <w:tc>
          <w:tcPr>
            <w:tcW w:w="540" w:type="dxa"/>
            <w:vAlign w:val="bottom"/>
            <w:tcBorders>
              <w:bottom w:val="single" w:sz="8" w:color="E5FFFF"/>
            </w:tcBorders>
            <w:shd w:val="clear" w:color="auto" w:fill="E5FFFF"/>
          </w:tcPr>
          <w:p>
            <w:pPr>
              <w:jc w:val="right"/>
              <w:ind w:right="4"/>
              <w:spacing w:after="0" w:line="216" w:lineRule="exact"/>
              <w:rPr>
                <w:sz w:val="20"/>
                <w:szCs w:val="20"/>
                <w:color w:val="auto"/>
              </w:rPr>
            </w:pPr>
            <w:r>
              <w:rPr>
                <w:rFonts w:ascii="Arial" w:cs="Arial" w:eastAsia="Arial" w:hAnsi="Arial"/>
                <w:sz w:val="19"/>
                <w:szCs w:val="19"/>
                <w:color w:val="auto"/>
              </w:rPr>
              <w:t>41</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40" w:type="dxa"/>
            <w:vAlign w:val="bottom"/>
            <w:gridSpan w:val="24"/>
          </w:tcPr>
          <w:p>
            <w:pPr>
              <w:spacing w:after="0" w:line="216" w:lineRule="exact"/>
              <w:rPr>
                <w:sz w:val="20"/>
                <w:szCs w:val="20"/>
                <w:color w:val="auto"/>
              </w:rPr>
            </w:pPr>
            <w:r>
              <w:rPr>
                <w:rFonts w:ascii="Arial" w:cs="Arial" w:eastAsia="Arial" w:hAnsi="Arial"/>
                <w:sz w:val="19"/>
                <w:szCs w:val="19"/>
                <w:color w:val="0000EE"/>
              </w:rPr>
              <w:t>R. Halls</w:t>
            </w:r>
          </w:p>
        </w:tc>
        <w:tc>
          <w:tcPr>
            <w:tcW w:w="540" w:type="dxa"/>
            <w:vAlign w:val="bottom"/>
          </w:tcPr>
          <w:p>
            <w:pPr>
              <w:jc w:val="right"/>
              <w:ind w:right="4"/>
              <w:spacing w:after="0" w:line="216" w:lineRule="exact"/>
              <w:rPr>
                <w:sz w:val="20"/>
                <w:szCs w:val="20"/>
                <w:color w:val="auto"/>
              </w:rPr>
            </w:pPr>
            <w:r>
              <w:rPr>
                <w:rFonts w:ascii="Arial" w:cs="Arial" w:eastAsia="Arial" w:hAnsi="Arial"/>
                <w:sz w:val="19"/>
                <w:szCs w:val="19"/>
                <w:color w:val="auto"/>
              </w:rPr>
              <w:t>43</w:t>
            </w: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tcBorders>
              <w:bottom w:val="single" w:sz="8" w:color="E5FFFF"/>
            </w:tcBorders>
            <w:shd w:val="clear" w:color="auto" w:fill="E5FFFF"/>
          </w:tcPr>
          <w:p>
            <w:pPr>
              <w:spacing w:after="0"/>
              <w:rPr>
                <w:sz w:val="21"/>
                <w:szCs w:val="21"/>
                <w:color w:val="auto"/>
              </w:rPr>
            </w:pPr>
          </w:p>
        </w:tc>
        <w:tc>
          <w:tcPr>
            <w:tcW w:w="360" w:type="dxa"/>
            <w:vAlign w:val="bottom"/>
            <w:tcBorders>
              <w:bottom w:val="single" w:sz="8" w:color="E5FFFF"/>
            </w:tcBorders>
            <w:shd w:val="clear" w:color="auto" w:fill="E5FFFF"/>
          </w:tcPr>
          <w:p>
            <w:pPr>
              <w:spacing w:after="0"/>
              <w:rPr>
                <w:sz w:val="21"/>
                <w:szCs w:val="21"/>
                <w:color w:val="auto"/>
              </w:rPr>
            </w:pPr>
          </w:p>
        </w:tc>
        <w:tc>
          <w:tcPr>
            <w:tcW w:w="360" w:type="dxa"/>
            <w:vAlign w:val="bottom"/>
            <w:tcBorders>
              <w:bottom w:val="single" w:sz="8" w:color="E5FFFF"/>
            </w:tcBorders>
            <w:shd w:val="clear" w:color="auto" w:fill="E5FFFF"/>
          </w:tcPr>
          <w:p>
            <w:pPr>
              <w:spacing w:after="0"/>
              <w:rPr>
                <w:sz w:val="21"/>
                <w:szCs w:val="21"/>
                <w:color w:val="auto"/>
              </w:rPr>
            </w:pPr>
          </w:p>
        </w:tc>
        <w:tc>
          <w:tcPr>
            <w:tcW w:w="760" w:type="dxa"/>
            <w:vAlign w:val="bottom"/>
            <w:tcBorders>
              <w:bottom w:val="single" w:sz="8" w:color="0000EE"/>
            </w:tcBorders>
            <w:gridSpan w:val="4"/>
            <w:shd w:val="clear" w:color="auto" w:fill="E5FFFF"/>
          </w:tcPr>
          <w:p>
            <w:pPr>
              <w:spacing w:after="0" w:line="216" w:lineRule="exact"/>
              <w:rPr>
                <w:sz w:val="20"/>
                <w:szCs w:val="20"/>
                <w:color w:val="auto"/>
              </w:rPr>
            </w:pPr>
            <w:r>
              <w:rPr>
                <w:rFonts w:ascii="Arial" w:cs="Arial" w:eastAsia="Arial" w:hAnsi="Arial"/>
                <w:sz w:val="19"/>
                <w:szCs w:val="19"/>
                <w:color w:val="0000EE"/>
                <w:w w:val="92"/>
              </w:rPr>
              <w:t>G. Bahler</w:t>
            </w:r>
          </w:p>
        </w:tc>
        <w:tc>
          <w:tcPr>
            <w:tcW w:w="9380" w:type="dxa"/>
            <w:vAlign w:val="bottom"/>
            <w:tcBorders>
              <w:bottom w:val="single" w:sz="8" w:color="E5FFFF"/>
            </w:tcBorders>
            <w:gridSpan w:val="20"/>
            <w:shd w:val="clear" w:color="auto" w:fill="E5FFFF"/>
          </w:tcPr>
          <w:p>
            <w:pPr>
              <w:spacing w:after="0"/>
              <w:rPr>
                <w:sz w:val="21"/>
                <w:szCs w:val="21"/>
                <w:color w:val="auto"/>
              </w:rPr>
            </w:pPr>
          </w:p>
        </w:tc>
        <w:tc>
          <w:tcPr>
            <w:tcW w:w="540" w:type="dxa"/>
            <w:vAlign w:val="bottom"/>
            <w:tcBorders>
              <w:bottom w:val="single" w:sz="8" w:color="E5FFFF"/>
            </w:tcBorders>
            <w:shd w:val="clear" w:color="auto" w:fill="E5FFFF"/>
          </w:tcPr>
          <w:p>
            <w:pPr>
              <w:jc w:val="right"/>
              <w:ind w:right="4"/>
              <w:spacing w:after="0" w:line="216" w:lineRule="exact"/>
              <w:rPr>
                <w:sz w:val="20"/>
                <w:szCs w:val="20"/>
                <w:color w:val="auto"/>
              </w:rPr>
            </w:pPr>
            <w:r>
              <w:rPr>
                <w:rFonts w:ascii="Arial" w:cs="Arial" w:eastAsia="Arial" w:hAnsi="Arial"/>
                <w:sz w:val="19"/>
                <w:szCs w:val="19"/>
                <w:color w:val="auto"/>
              </w:rPr>
              <w:t>45</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40" w:type="dxa"/>
            <w:vAlign w:val="bottom"/>
            <w:gridSpan w:val="24"/>
          </w:tcPr>
          <w:p>
            <w:pPr>
              <w:spacing w:after="0" w:line="216" w:lineRule="exact"/>
              <w:rPr>
                <w:sz w:val="20"/>
                <w:szCs w:val="20"/>
                <w:color w:val="auto"/>
              </w:rPr>
            </w:pPr>
            <w:r>
              <w:rPr>
                <w:rFonts w:ascii="Arial" w:cs="Arial" w:eastAsia="Arial" w:hAnsi="Arial"/>
                <w:sz w:val="19"/>
                <w:szCs w:val="19"/>
                <w:color w:val="0000EE"/>
              </w:rPr>
              <w:t>R. McHugh</w:t>
            </w:r>
          </w:p>
        </w:tc>
        <w:tc>
          <w:tcPr>
            <w:tcW w:w="540" w:type="dxa"/>
            <w:vAlign w:val="bottom"/>
          </w:tcPr>
          <w:p>
            <w:pPr>
              <w:jc w:val="right"/>
              <w:ind w:right="4"/>
              <w:spacing w:after="0" w:line="216" w:lineRule="exact"/>
              <w:rPr>
                <w:sz w:val="20"/>
                <w:szCs w:val="20"/>
                <w:color w:val="auto"/>
              </w:rPr>
            </w:pPr>
            <w:r>
              <w:rPr>
                <w:rFonts w:ascii="Arial" w:cs="Arial" w:eastAsia="Arial" w:hAnsi="Arial"/>
                <w:sz w:val="19"/>
                <w:szCs w:val="19"/>
                <w:color w:val="auto"/>
              </w:rPr>
              <w:t>47</w:t>
            </w: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860" w:type="dxa"/>
            <w:vAlign w:val="bottom"/>
            <w:gridSpan w:val="26"/>
            <w:shd w:val="clear" w:color="auto" w:fill="E5FFFF"/>
          </w:tcPr>
          <w:p>
            <w:pPr>
              <w:ind w:left="360"/>
              <w:spacing w:after="0" w:line="216" w:lineRule="exact"/>
              <w:rPr>
                <w:rFonts w:ascii="Arial" w:cs="Arial" w:eastAsia="Arial" w:hAnsi="Arial"/>
                <w:sz w:val="19"/>
                <w:szCs w:val="19"/>
                <w:color w:val="0000EE"/>
              </w:rPr>
            </w:pPr>
            <w:hyperlink w:anchor="page56">
              <w:r>
                <w:rPr>
                  <w:rFonts w:ascii="Arial" w:cs="Arial" w:eastAsia="Arial" w:hAnsi="Arial"/>
                  <w:sz w:val="19"/>
                  <w:szCs w:val="19"/>
                  <w:color w:val="0000EE"/>
                </w:rPr>
                <w:t>Retirement Plans</w:t>
              </w:r>
            </w:hyperlink>
          </w:p>
        </w:tc>
        <w:tc>
          <w:tcPr>
            <w:tcW w:w="540" w:type="dxa"/>
            <w:vAlign w:val="bottom"/>
            <w:shd w:val="clear" w:color="auto" w:fill="E5FFFF"/>
          </w:tcPr>
          <w:p>
            <w:pPr>
              <w:jc w:val="right"/>
              <w:ind w:right="4"/>
              <w:spacing w:after="0" w:line="216" w:lineRule="exact"/>
              <w:rPr>
                <w:sz w:val="20"/>
                <w:szCs w:val="20"/>
                <w:color w:val="auto"/>
              </w:rPr>
            </w:pPr>
            <w:r>
              <w:rPr>
                <w:rFonts w:ascii="Arial" w:cs="Arial" w:eastAsia="Arial" w:hAnsi="Arial"/>
                <w:sz w:val="19"/>
                <w:szCs w:val="19"/>
                <w:color w:val="auto"/>
              </w:rPr>
              <w:t>49</w:t>
            </w:r>
          </w:p>
        </w:tc>
      </w:tr>
      <w:tr>
        <w:trPr>
          <w:trHeight w:val="34"/>
        </w:trPr>
        <w:tc>
          <w:tcPr>
            <w:tcW w:w="20" w:type="dxa"/>
            <w:vAlign w:val="bottom"/>
            <w:tcBorders>
              <w:top w:val="single" w:sz="8" w:color="E5FFFF"/>
            </w:tcBorders>
            <w:shd w:val="clear" w:color="auto" w:fill="E5FFFF"/>
          </w:tcPr>
          <w:p>
            <w:pPr>
              <w:spacing w:after="0"/>
              <w:rPr>
                <w:sz w:val="2"/>
                <w:szCs w:val="2"/>
                <w:color w:val="auto"/>
              </w:rPr>
            </w:pPr>
          </w:p>
        </w:tc>
        <w:tc>
          <w:tcPr>
            <w:tcW w:w="360" w:type="dxa"/>
            <w:vAlign w:val="bottom"/>
            <w:tcBorders>
              <w:top w:val="single" w:sz="8" w:color="E5FFFF"/>
            </w:tcBorders>
            <w:shd w:val="clear" w:color="auto" w:fill="E5FFFF"/>
          </w:tcPr>
          <w:p>
            <w:pPr>
              <w:spacing w:after="0"/>
              <w:rPr>
                <w:sz w:val="2"/>
                <w:szCs w:val="2"/>
                <w:color w:val="auto"/>
              </w:rPr>
            </w:pPr>
          </w:p>
        </w:tc>
        <w:tc>
          <w:tcPr>
            <w:tcW w:w="360" w:type="dxa"/>
            <w:vAlign w:val="bottom"/>
            <w:tcBorders>
              <w:top w:val="single" w:sz="8" w:color="0000EE"/>
            </w:tcBorders>
            <w:shd w:val="clear" w:color="auto" w:fill="E5FFFF"/>
          </w:tcPr>
          <w:p>
            <w:pPr>
              <w:spacing w:after="0"/>
              <w:rPr>
                <w:sz w:val="2"/>
                <w:szCs w:val="2"/>
                <w:color w:val="auto"/>
              </w:rPr>
            </w:pPr>
          </w:p>
        </w:tc>
        <w:tc>
          <w:tcPr>
            <w:tcW w:w="280" w:type="dxa"/>
            <w:vAlign w:val="bottom"/>
            <w:tcBorders>
              <w:top w:val="single" w:sz="8" w:color="0000EE"/>
            </w:tcBorders>
            <w:shd w:val="clear" w:color="auto" w:fill="E5FFFF"/>
          </w:tcPr>
          <w:p>
            <w:pPr>
              <w:spacing w:after="0"/>
              <w:rPr>
                <w:sz w:val="2"/>
                <w:szCs w:val="2"/>
                <w:color w:val="auto"/>
              </w:rPr>
            </w:pPr>
          </w:p>
        </w:tc>
        <w:tc>
          <w:tcPr>
            <w:tcW w:w="360" w:type="dxa"/>
            <w:vAlign w:val="bottom"/>
            <w:tcBorders>
              <w:top w:val="single" w:sz="8" w:color="0000EE"/>
            </w:tcBorders>
            <w:shd w:val="clear" w:color="auto" w:fill="E5FFFF"/>
          </w:tcPr>
          <w:p>
            <w:pPr>
              <w:spacing w:after="0"/>
              <w:rPr>
                <w:sz w:val="2"/>
                <w:szCs w:val="2"/>
                <w:color w:val="auto"/>
              </w:rPr>
            </w:pPr>
          </w:p>
        </w:tc>
        <w:tc>
          <w:tcPr>
            <w:tcW w:w="4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160" w:type="dxa"/>
            <w:vAlign w:val="bottom"/>
            <w:tcBorders>
              <w:top w:val="single" w:sz="8" w:color="0000EE"/>
            </w:tcBorders>
            <w:shd w:val="clear" w:color="auto" w:fill="E5FFFF"/>
          </w:tcPr>
          <w:p>
            <w:pPr>
              <w:spacing w:after="0"/>
              <w:rPr>
                <w:sz w:val="2"/>
                <w:szCs w:val="2"/>
                <w:color w:val="auto"/>
              </w:rPr>
            </w:pPr>
          </w:p>
        </w:tc>
        <w:tc>
          <w:tcPr>
            <w:tcW w:w="20" w:type="dxa"/>
            <w:vAlign w:val="bottom"/>
            <w:tcBorders>
              <w:top w:val="single" w:sz="8" w:color="0000EE"/>
            </w:tcBorders>
            <w:shd w:val="clear" w:color="auto" w:fill="E5FFFF"/>
          </w:tcPr>
          <w:p>
            <w:pPr>
              <w:spacing w:after="0"/>
              <w:rPr>
                <w:sz w:val="2"/>
                <w:szCs w:val="2"/>
                <w:color w:val="auto"/>
              </w:rPr>
            </w:pPr>
          </w:p>
        </w:tc>
        <w:tc>
          <w:tcPr>
            <w:tcW w:w="20" w:type="dxa"/>
            <w:vAlign w:val="bottom"/>
            <w:tcBorders>
              <w:top w:val="single" w:sz="8" w:color="0000EE"/>
            </w:tcBorders>
            <w:shd w:val="clear" w:color="auto" w:fill="E5FFFF"/>
          </w:tcPr>
          <w:p>
            <w:pPr>
              <w:spacing w:after="0"/>
              <w:rPr>
                <w:sz w:val="2"/>
                <w:szCs w:val="2"/>
                <w:color w:val="auto"/>
              </w:rPr>
            </w:pPr>
          </w:p>
        </w:tc>
        <w:tc>
          <w:tcPr>
            <w:tcW w:w="500" w:type="dxa"/>
            <w:vAlign w:val="bottom"/>
            <w:tcBorders>
              <w:top w:val="single" w:sz="8" w:color="E5FFFF"/>
            </w:tcBorders>
            <w:shd w:val="clear" w:color="auto" w:fill="E5FFFF"/>
          </w:tcPr>
          <w:p>
            <w:pPr>
              <w:spacing w:after="0"/>
              <w:rPr>
                <w:sz w:val="2"/>
                <w:szCs w:val="2"/>
                <w:color w:val="auto"/>
              </w:rPr>
            </w:pPr>
          </w:p>
        </w:tc>
        <w:tc>
          <w:tcPr>
            <w:tcW w:w="100" w:type="dxa"/>
            <w:vAlign w:val="bottom"/>
            <w:tcBorders>
              <w:top w:val="single" w:sz="8" w:color="E5FFFF"/>
            </w:tcBorders>
            <w:shd w:val="clear" w:color="auto" w:fill="E5FFFF"/>
          </w:tcPr>
          <w:p>
            <w:pPr>
              <w:spacing w:after="0"/>
              <w:rPr>
                <w:sz w:val="2"/>
                <w:szCs w:val="2"/>
                <w:color w:val="auto"/>
              </w:rPr>
            </w:pPr>
          </w:p>
        </w:tc>
        <w:tc>
          <w:tcPr>
            <w:tcW w:w="60" w:type="dxa"/>
            <w:vAlign w:val="bottom"/>
            <w:tcBorders>
              <w:top w:val="single" w:sz="8" w:color="E5FFFF"/>
            </w:tcBorders>
            <w:shd w:val="clear" w:color="auto" w:fill="E5FFFF"/>
          </w:tcPr>
          <w:p>
            <w:pPr>
              <w:spacing w:after="0"/>
              <w:rPr>
                <w:sz w:val="2"/>
                <w:szCs w:val="2"/>
                <w:color w:val="auto"/>
              </w:rPr>
            </w:pPr>
          </w:p>
        </w:tc>
        <w:tc>
          <w:tcPr>
            <w:tcW w:w="80" w:type="dxa"/>
            <w:vAlign w:val="bottom"/>
            <w:tcBorders>
              <w:top w:val="single" w:sz="8" w:color="E5FFFF"/>
            </w:tcBorders>
            <w:shd w:val="clear" w:color="auto" w:fill="E5FFFF"/>
          </w:tcPr>
          <w:p>
            <w:pPr>
              <w:spacing w:after="0"/>
              <w:rPr>
                <w:sz w:val="2"/>
                <w:szCs w:val="2"/>
                <w:color w:val="auto"/>
              </w:rPr>
            </w:pPr>
          </w:p>
        </w:tc>
        <w:tc>
          <w:tcPr>
            <w:tcW w:w="280" w:type="dxa"/>
            <w:vAlign w:val="bottom"/>
            <w:tcBorders>
              <w:top w:val="single" w:sz="8" w:color="E5FFFF"/>
            </w:tcBorders>
            <w:shd w:val="clear" w:color="auto" w:fill="E5FFFF"/>
          </w:tcPr>
          <w:p>
            <w:pPr>
              <w:spacing w:after="0"/>
              <w:rPr>
                <w:sz w:val="2"/>
                <w:szCs w:val="2"/>
                <w:color w:val="auto"/>
              </w:rPr>
            </w:pPr>
          </w:p>
        </w:tc>
        <w:tc>
          <w:tcPr>
            <w:tcW w:w="40" w:type="dxa"/>
            <w:vAlign w:val="bottom"/>
            <w:tcBorders>
              <w:top w:val="single" w:sz="8" w:color="E5FFFF"/>
            </w:tcBorders>
            <w:shd w:val="clear" w:color="auto" w:fill="E5FFFF"/>
          </w:tcPr>
          <w:p>
            <w:pPr>
              <w:spacing w:after="0"/>
              <w:rPr>
                <w:sz w:val="2"/>
                <w:szCs w:val="2"/>
                <w:color w:val="auto"/>
              </w:rPr>
            </w:pPr>
          </w:p>
        </w:tc>
        <w:tc>
          <w:tcPr>
            <w:tcW w:w="340" w:type="dxa"/>
            <w:vAlign w:val="bottom"/>
            <w:tcBorders>
              <w:top w:val="single" w:sz="8" w:color="E5FFFF"/>
            </w:tcBorders>
            <w:shd w:val="clear" w:color="auto" w:fill="E5FFFF"/>
          </w:tcPr>
          <w:p>
            <w:pPr>
              <w:spacing w:after="0"/>
              <w:rPr>
                <w:sz w:val="2"/>
                <w:szCs w:val="2"/>
                <w:color w:val="auto"/>
              </w:rPr>
            </w:pPr>
          </w:p>
        </w:tc>
        <w:tc>
          <w:tcPr>
            <w:tcW w:w="20" w:type="dxa"/>
            <w:vAlign w:val="bottom"/>
            <w:tcBorders>
              <w:top w:val="single" w:sz="8" w:color="E5FFFF"/>
            </w:tcBorders>
            <w:shd w:val="clear" w:color="auto" w:fill="E5FFFF"/>
          </w:tcPr>
          <w:p>
            <w:pPr>
              <w:spacing w:after="0"/>
              <w:rPr>
                <w:sz w:val="2"/>
                <w:szCs w:val="2"/>
                <w:color w:val="auto"/>
              </w:rPr>
            </w:pPr>
          </w:p>
        </w:tc>
        <w:tc>
          <w:tcPr>
            <w:tcW w:w="200" w:type="dxa"/>
            <w:vAlign w:val="bottom"/>
            <w:tcBorders>
              <w:top w:val="single" w:sz="8" w:color="E5FFFF"/>
            </w:tcBorders>
            <w:shd w:val="clear" w:color="auto" w:fill="E5FFFF"/>
          </w:tcPr>
          <w:p>
            <w:pPr>
              <w:spacing w:after="0"/>
              <w:rPr>
                <w:sz w:val="2"/>
                <w:szCs w:val="2"/>
                <w:color w:val="auto"/>
              </w:rPr>
            </w:pPr>
          </w:p>
        </w:tc>
        <w:tc>
          <w:tcPr>
            <w:tcW w:w="640" w:type="dxa"/>
            <w:vAlign w:val="bottom"/>
            <w:tcBorders>
              <w:top w:val="single" w:sz="8" w:color="E5FFFF"/>
            </w:tcBorders>
            <w:shd w:val="clear" w:color="auto" w:fill="E5FFFF"/>
          </w:tcPr>
          <w:p>
            <w:pPr>
              <w:spacing w:after="0"/>
              <w:rPr>
                <w:sz w:val="2"/>
                <w:szCs w:val="2"/>
                <w:color w:val="auto"/>
              </w:rPr>
            </w:pPr>
          </w:p>
        </w:tc>
        <w:tc>
          <w:tcPr>
            <w:tcW w:w="500" w:type="dxa"/>
            <w:vAlign w:val="bottom"/>
            <w:tcBorders>
              <w:top w:val="single" w:sz="8" w:color="E5FFFF"/>
            </w:tcBorders>
            <w:shd w:val="clear" w:color="auto" w:fill="E5FFFF"/>
          </w:tcPr>
          <w:p>
            <w:pPr>
              <w:spacing w:after="0"/>
              <w:rPr>
                <w:sz w:val="2"/>
                <w:szCs w:val="2"/>
                <w:color w:val="auto"/>
              </w:rPr>
            </w:pPr>
          </w:p>
        </w:tc>
        <w:tc>
          <w:tcPr>
            <w:tcW w:w="280" w:type="dxa"/>
            <w:vAlign w:val="bottom"/>
            <w:tcBorders>
              <w:top w:val="single" w:sz="8" w:color="E5FFFF"/>
            </w:tcBorders>
            <w:shd w:val="clear" w:color="auto" w:fill="E5FFFF"/>
          </w:tcPr>
          <w:p>
            <w:pPr>
              <w:spacing w:after="0"/>
              <w:rPr>
                <w:sz w:val="2"/>
                <w:szCs w:val="2"/>
                <w:color w:val="auto"/>
              </w:rPr>
            </w:pPr>
          </w:p>
        </w:tc>
        <w:tc>
          <w:tcPr>
            <w:tcW w:w="260" w:type="dxa"/>
            <w:vAlign w:val="bottom"/>
            <w:tcBorders>
              <w:top w:val="single" w:sz="8" w:color="E5FFFF"/>
            </w:tcBorders>
            <w:shd w:val="clear" w:color="auto" w:fill="E5FFFF"/>
          </w:tcPr>
          <w:p>
            <w:pPr>
              <w:spacing w:after="0"/>
              <w:rPr>
                <w:sz w:val="2"/>
                <w:szCs w:val="2"/>
                <w:color w:val="auto"/>
              </w:rPr>
            </w:pPr>
          </w:p>
        </w:tc>
        <w:tc>
          <w:tcPr>
            <w:tcW w:w="860" w:type="dxa"/>
            <w:vAlign w:val="bottom"/>
            <w:tcBorders>
              <w:top w:val="single" w:sz="8" w:color="E5FFFF"/>
            </w:tcBorders>
            <w:shd w:val="clear" w:color="auto" w:fill="E5FFFF"/>
          </w:tcPr>
          <w:p>
            <w:pPr>
              <w:spacing w:after="0"/>
              <w:rPr>
                <w:sz w:val="2"/>
                <w:szCs w:val="2"/>
                <w:color w:val="auto"/>
              </w:rPr>
            </w:pPr>
          </w:p>
        </w:tc>
        <w:tc>
          <w:tcPr>
            <w:tcW w:w="180" w:type="dxa"/>
            <w:vAlign w:val="bottom"/>
            <w:tcBorders>
              <w:top w:val="single" w:sz="8" w:color="E5FFFF"/>
            </w:tcBorders>
            <w:shd w:val="clear" w:color="auto" w:fill="E5FFFF"/>
          </w:tcPr>
          <w:p>
            <w:pPr>
              <w:spacing w:after="0"/>
              <w:rPr>
                <w:sz w:val="2"/>
                <w:szCs w:val="2"/>
                <w:color w:val="auto"/>
              </w:rPr>
            </w:pPr>
          </w:p>
        </w:tc>
        <w:tc>
          <w:tcPr>
            <w:tcW w:w="2720" w:type="dxa"/>
            <w:vAlign w:val="bottom"/>
            <w:tcBorders>
              <w:top w:val="single" w:sz="8" w:color="E5FFFF"/>
            </w:tcBorders>
            <w:shd w:val="clear" w:color="auto" w:fill="E5FFFF"/>
          </w:tcPr>
          <w:p>
            <w:pPr>
              <w:spacing w:after="0"/>
              <w:rPr>
                <w:sz w:val="2"/>
                <w:szCs w:val="2"/>
                <w:color w:val="auto"/>
              </w:rPr>
            </w:pPr>
          </w:p>
        </w:tc>
        <w:tc>
          <w:tcPr>
            <w:tcW w:w="2120" w:type="dxa"/>
            <w:vAlign w:val="bottom"/>
            <w:tcBorders>
              <w:top w:val="single" w:sz="8" w:color="E5FFFF"/>
            </w:tcBorders>
            <w:shd w:val="clear" w:color="auto" w:fill="E5FFFF"/>
          </w:tcPr>
          <w:p>
            <w:pPr>
              <w:spacing w:after="0"/>
              <w:rPr>
                <w:sz w:val="2"/>
                <w:szCs w:val="2"/>
                <w:color w:val="auto"/>
              </w:rPr>
            </w:pPr>
          </w:p>
        </w:tc>
        <w:tc>
          <w:tcPr>
            <w:tcW w:w="540" w:type="dxa"/>
            <w:vAlign w:val="bottom"/>
            <w:tcBorders>
              <w:top w:val="single" w:sz="8" w:color="E5FFFF"/>
            </w:tcBorders>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860" w:type="dxa"/>
            <w:vAlign w:val="bottom"/>
            <w:gridSpan w:val="26"/>
          </w:tcPr>
          <w:p>
            <w:pPr>
              <w:ind w:left="360"/>
              <w:spacing w:after="0" w:line="216" w:lineRule="exact"/>
              <w:rPr>
                <w:sz w:val="20"/>
                <w:szCs w:val="20"/>
                <w:color w:val="auto"/>
              </w:rPr>
            </w:pPr>
            <w:r>
              <w:rPr>
                <w:rFonts w:ascii="Arial" w:cs="Arial" w:eastAsia="Arial" w:hAnsi="Arial"/>
                <w:sz w:val="19"/>
                <w:szCs w:val="19"/>
                <w:color w:val="0000EE"/>
              </w:rPr>
              <w:t>Pension Benefits</w:t>
            </w:r>
          </w:p>
        </w:tc>
        <w:tc>
          <w:tcPr>
            <w:tcW w:w="540" w:type="dxa"/>
            <w:vAlign w:val="bottom"/>
          </w:tcPr>
          <w:p>
            <w:pPr>
              <w:jc w:val="right"/>
              <w:ind w:right="4"/>
              <w:spacing w:after="0" w:line="216" w:lineRule="exact"/>
              <w:rPr>
                <w:sz w:val="20"/>
                <w:szCs w:val="20"/>
                <w:color w:val="auto"/>
              </w:rPr>
            </w:pPr>
            <w:r>
              <w:rPr>
                <w:rFonts w:ascii="Arial" w:cs="Arial" w:eastAsia="Arial" w:hAnsi="Arial"/>
                <w:sz w:val="19"/>
                <w:szCs w:val="19"/>
                <w:color w:val="auto"/>
              </w:rPr>
              <w:t>51</w:t>
            </w: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tcBorders>
              <w:bottom w:val="single" w:sz="8" w:color="E5FFFF"/>
            </w:tcBorders>
            <w:shd w:val="clear" w:color="auto" w:fill="E5FFFF"/>
          </w:tcPr>
          <w:p>
            <w:pPr>
              <w:spacing w:after="0"/>
              <w:rPr>
                <w:sz w:val="21"/>
                <w:szCs w:val="21"/>
                <w:color w:val="auto"/>
              </w:rPr>
            </w:pPr>
          </w:p>
        </w:tc>
        <w:tc>
          <w:tcPr>
            <w:tcW w:w="3300" w:type="dxa"/>
            <w:vAlign w:val="bottom"/>
            <w:tcBorders>
              <w:bottom w:val="single" w:sz="8" w:color="0000EE"/>
            </w:tcBorders>
            <w:gridSpan w:val="18"/>
            <w:shd w:val="clear" w:color="auto" w:fill="E5FFFF"/>
          </w:tcPr>
          <w:p>
            <w:pPr>
              <w:spacing w:after="0" w:line="216" w:lineRule="exact"/>
              <w:rPr>
                <w:sz w:val="20"/>
                <w:szCs w:val="20"/>
                <w:color w:val="auto"/>
              </w:rPr>
            </w:pPr>
            <w:r>
              <w:rPr>
                <w:rFonts w:ascii="Arial" w:cs="Arial" w:eastAsia="Arial" w:hAnsi="Arial"/>
                <w:sz w:val="19"/>
                <w:szCs w:val="19"/>
                <w:b w:val="1"/>
                <w:bCs w:val="1"/>
                <w:color w:val="0000EE"/>
                <w:w w:val="93"/>
              </w:rPr>
              <w:t>Equity Compensation Plan Information</w:t>
            </w:r>
          </w:p>
        </w:tc>
        <w:tc>
          <w:tcPr>
            <w:tcW w:w="7560" w:type="dxa"/>
            <w:vAlign w:val="bottom"/>
            <w:tcBorders>
              <w:bottom w:val="single" w:sz="8" w:color="E5FFFF"/>
            </w:tcBorders>
            <w:gridSpan w:val="8"/>
            <w:shd w:val="clear" w:color="auto" w:fill="E5FFFF"/>
          </w:tcPr>
          <w:p>
            <w:pPr>
              <w:spacing w:after="0"/>
              <w:rPr>
                <w:sz w:val="21"/>
                <w:szCs w:val="21"/>
                <w:color w:val="auto"/>
              </w:rPr>
            </w:pPr>
          </w:p>
        </w:tc>
        <w:tc>
          <w:tcPr>
            <w:tcW w:w="540" w:type="dxa"/>
            <w:vAlign w:val="bottom"/>
            <w:tcBorders>
              <w:bottom w:val="single" w:sz="8" w:color="E5FFFF"/>
            </w:tcBorders>
            <w:shd w:val="clear" w:color="auto" w:fill="E5FFFF"/>
          </w:tcPr>
          <w:p>
            <w:pPr>
              <w:jc w:val="right"/>
              <w:ind w:right="4"/>
              <w:spacing w:after="0" w:line="216" w:lineRule="exact"/>
              <w:rPr>
                <w:sz w:val="20"/>
                <w:szCs w:val="20"/>
                <w:color w:val="auto"/>
              </w:rPr>
            </w:pPr>
            <w:r>
              <w:rPr>
                <w:rFonts w:ascii="Arial" w:cs="Arial" w:eastAsia="Arial" w:hAnsi="Arial"/>
                <w:sz w:val="19"/>
                <w:szCs w:val="19"/>
                <w:color w:val="auto"/>
              </w:rPr>
              <w:t>52</w:t>
            </w:r>
          </w:p>
        </w:tc>
      </w:tr>
      <w:tr>
        <w:trPr>
          <w:trHeight w:val="216"/>
        </w:trPr>
        <w:tc>
          <w:tcPr>
            <w:tcW w:w="20" w:type="dxa"/>
            <w:vAlign w:val="bottom"/>
          </w:tcPr>
          <w:p>
            <w:pPr>
              <w:spacing w:after="0"/>
              <w:rPr>
                <w:sz w:val="18"/>
                <w:szCs w:val="18"/>
                <w:color w:val="auto"/>
              </w:rPr>
            </w:pPr>
          </w:p>
        </w:tc>
        <w:tc>
          <w:tcPr>
            <w:tcW w:w="10860" w:type="dxa"/>
            <w:vAlign w:val="bottom"/>
            <w:gridSpan w:val="26"/>
          </w:tcPr>
          <w:p>
            <w:pPr>
              <w:spacing w:after="0" w:line="216" w:lineRule="exact"/>
              <w:rPr>
                <w:sz w:val="20"/>
                <w:szCs w:val="20"/>
                <w:color w:val="auto"/>
              </w:rPr>
            </w:pPr>
            <w:r>
              <w:rPr>
                <w:rFonts w:ascii="Arial" w:cs="Arial" w:eastAsia="Arial" w:hAnsi="Arial"/>
                <w:sz w:val="19"/>
                <w:szCs w:val="19"/>
                <w:b w:val="1"/>
                <w:bCs w:val="1"/>
                <w:color w:val="0000EE"/>
              </w:rPr>
              <w:t>Items to be Voted on by Shareholders</w:t>
            </w:r>
          </w:p>
        </w:tc>
        <w:tc>
          <w:tcPr>
            <w:tcW w:w="540" w:type="dxa"/>
            <w:vAlign w:val="bottom"/>
          </w:tcPr>
          <w:p>
            <w:pPr>
              <w:jc w:val="right"/>
              <w:ind w:right="4"/>
              <w:spacing w:after="0" w:line="216" w:lineRule="exact"/>
              <w:rPr>
                <w:sz w:val="20"/>
                <w:szCs w:val="20"/>
                <w:color w:val="auto"/>
              </w:rPr>
            </w:pPr>
            <w:r>
              <w:rPr>
                <w:rFonts w:ascii="Arial" w:cs="Arial" w:eastAsia="Arial" w:hAnsi="Arial"/>
                <w:sz w:val="19"/>
                <w:szCs w:val="19"/>
                <w:color w:val="auto"/>
              </w:rPr>
              <w:t>53</w:t>
            </w:r>
          </w:p>
        </w:tc>
      </w:tr>
      <w:tr>
        <w:trPr>
          <w:trHeight w:val="34"/>
        </w:trPr>
        <w:tc>
          <w:tcPr>
            <w:tcW w:w="2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tcBorders>
              <w:bottom w:val="single" w:sz="8" w:color="E5FFFF"/>
            </w:tcBorders>
            <w:shd w:val="clear" w:color="auto" w:fill="E5FFFF"/>
          </w:tcPr>
          <w:p>
            <w:pPr>
              <w:spacing w:after="0"/>
              <w:rPr>
                <w:sz w:val="21"/>
                <w:szCs w:val="21"/>
                <w:color w:val="auto"/>
              </w:rPr>
            </w:pPr>
          </w:p>
        </w:tc>
        <w:tc>
          <w:tcPr>
            <w:tcW w:w="2700" w:type="dxa"/>
            <w:vAlign w:val="bottom"/>
            <w:tcBorders>
              <w:bottom w:val="single" w:sz="8" w:color="0000EE"/>
            </w:tcBorders>
            <w:gridSpan w:val="14"/>
            <w:shd w:val="clear" w:color="auto" w:fill="E5FFFF"/>
          </w:tcPr>
          <w:p>
            <w:pPr>
              <w:spacing w:after="0" w:line="216" w:lineRule="exact"/>
              <w:rPr>
                <w:sz w:val="20"/>
                <w:szCs w:val="20"/>
                <w:color w:val="auto"/>
              </w:rPr>
            </w:pPr>
            <w:r>
              <w:rPr>
                <w:rFonts w:ascii="Arial" w:cs="Arial" w:eastAsia="Arial" w:hAnsi="Arial"/>
                <w:sz w:val="19"/>
                <w:szCs w:val="19"/>
                <w:b w:val="1"/>
                <w:bCs w:val="1"/>
                <w:color w:val="0000EE"/>
                <w:w w:val="90"/>
              </w:rPr>
              <w:t>Proposal 1: Election of Directors</w:t>
            </w:r>
          </w:p>
        </w:tc>
        <w:tc>
          <w:tcPr>
            <w:tcW w:w="8160" w:type="dxa"/>
            <w:vAlign w:val="bottom"/>
            <w:tcBorders>
              <w:bottom w:val="single" w:sz="8" w:color="E5FFFF"/>
            </w:tcBorders>
            <w:gridSpan w:val="12"/>
            <w:shd w:val="clear" w:color="auto" w:fill="E5FFFF"/>
          </w:tcPr>
          <w:p>
            <w:pPr>
              <w:spacing w:after="0"/>
              <w:rPr>
                <w:sz w:val="21"/>
                <w:szCs w:val="21"/>
                <w:color w:val="auto"/>
              </w:rPr>
            </w:pPr>
          </w:p>
        </w:tc>
        <w:tc>
          <w:tcPr>
            <w:tcW w:w="540" w:type="dxa"/>
            <w:vAlign w:val="bottom"/>
            <w:tcBorders>
              <w:bottom w:val="single" w:sz="8" w:color="E5FFFF"/>
            </w:tcBorders>
            <w:shd w:val="clear" w:color="auto" w:fill="E5FFFF"/>
          </w:tcPr>
          <w:p>
            <w:pPr>
              <w:jc w:val="right"/>
              <w:ind w:right="4"/>
              <w:spacing w:after="0" w:line="216" w:lineRule="exact"/>
              <w:rPr>
                <w:sz w:val="20"/>
                <w:szCs w:val="20"/>
                <w:color w:val="auto"/>
              </w:rPr>
            </w:pPr>
            <w:r>
              <w:rPr>
                <w:rFonts w:ascii="Arial" w:cs="Arial" w:eastAsia="Arial" w:hAnsi="Arial"/>
                <w:sz w:val="19"/>
                <w:szCs w:val="19"/>
                <w:color w:val="auto"/>
              </w:rPr>
              <w:t>53</w:t>
            </w:r>
          </w:p>
        </w:tc>
      </w:tr>
      <w:tr>
        <w:trPr>
          <w:trHeight w:val="216"/>
        </w:trPr>
        <w:tc>
          <w:tcPr>
            <w:tcW w:w="20" w:type="dxa"/>
            <w:vAlign w:val="bottom"/>
          </w:tcPr>
          <w:p>
            <w:pPr>
              <w:spacing w:after="0"/>
              <w:rPr>
                <w:sz w:val="18"/>
                <w:szCs w:val="18"/>
                <w:color w:val="auto"/>
              </w:rPr>
            </w:pPr>
          </w:p>
        </w:tc>
        <w:tc>
          <w:tcPr>
            <w:tcW w:w="10860" w:type="dxa"/>
            <w:vAlign w:val="bottom"/>
            <w:gridSpan w:val="26"/>
          </w:tcPr>
          <w:p>
            <w:pPr>
              <w:ind w:left="360"/>
              <w:spacing w:after="0" w:line="216" w:lineRule="exact"/>
              <w:rPr>
                <w:sz w:val="20"/>
                <w:szCs w:val="20"/>
                <w:color w:val="auto"/>
              </w:rPr>
            </w:pPr>
            <w:r>
              <w:rPr>
                <w:rFonts w:ascii="Arial" w:cs="Arial" w:eastAsia="Arial" w:hAnsi="Arial"/>
                <w:sz w:val="19"/>
                <w:szCs w:val="19"/>
                <w:color w:val="0000EE"/>
              </w:rPr>
              <w:t>Nominees for Directors</w:t>
            </w:r>
          </w:p>
        </w:tc>
        <w:tc>
          <w:tcPr>
            <w:tcW w:w="540" w:type="dxa"/>
            <w:vAlign w:val="bottom"/>
          </w:tcPr>
          <w:p>
            <w:pPr>
              <w:jc w:val="right"/>
              <w:ind w:right="4"/>
              <w:spacing w:after="0" w:line="216" w:lineRule="exact"/>
              <w:rPr>
                <w:sz w:val="20"/>
                <w:szCs w:val="20"/>
                <w:color w:val="auto"/>
              </w:rPr>
            </w:pPr>
            <w:r>
              <w:rPr>
                <w:rFonts w:ascii="Arial" w:cs="Arial" w:eastAsia="Arial" w:hAnsi="Arial"/>
                <w:sz w:val="19"/>
                <w:szCs w:val="19"/>
                <w:color w:val="auto"/>
              </w:rPr>
              <w:t>53</w:t>
            </w: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860" w:type="dxa"/>
            <w:vAlign w:val="bottom"/>
            <w:gridSpan w:val="26"/>
            <w:shd w:val="clear" w:color="auto" w:fill="E5FFFF"/>
          </w:tcPr>
          <w:p>
            <w:pPr>
              <w:ind w:left="360"/>
              <w:spacing w:after="0" w:line="216" w:lineRule="exact"/>
              <w:rPr>
                <w:sz w:val="20"/>
                <w:szCs w:val="20"/>
                <w:color w:val="auto"/>
              </w:rPr>
            </w:pPr>
            <w:r>
              <w:rPr>
                <w:rFonts w:ascii="Arial" w:cs="Arial" w:eastAsia="Arial" w:hAnsi="Arial"/>
                <w:sz w:val="19"/>
                <w:szCs w:val="19"/>
                <w:color w:val="0000EE"/>
              </w:rPr>
              <w:t>Directors Continuing in Office</w:t>
            </w:r>
          </w:p>
        </w:tc>
        <w:tc>
          <w:tcPr>
            <w:tcW w:w="540" w:type="dxa"/>
            <w:vAlign w:val="bottom"/>
            <w:shd w:val="clear" w:color="auto" w:fill="E5FFFF"/>
          </w:tcPr>
          <w:p>
            <w:pPr>
              <w:jc w:val="right"/>
              <w:ind w:right="4"/>
              <w:spacing w:after="0" w:line="216" w:lineRule="exact"/>
              <w:rPr>
                <w:sz w:val="20"/>
                <w:szCs w:val="20"/>
                <w:color w:val="auto"/>
              </w:rPr>
            </w:pPr>
            <w:r>
              <w:rPr>
                <w:rFonts w:ascii="Arial" w:cs="Arial" w:eastAsia="Arial" w:hAnsi="Arial"/>
                <w:sz w:val="19"/>
                <w:szCs w:val="19"/>
                <w:color w:val="auto"/>
              </w:rPr>
              <w:t>54</w:t>
            </w:r>
          </w:p>
        </w:tc>
      </w:tr>
      <w:tr>
        <w:trPr>
          <w:trHeight w:val="34"/>
        </w:trPr>
        <w:tc>
          <w:tcPr>
            <w:tcW w:w="20" w:type="dxa"/>
            <w:vAlign w:val="bottom"/>
            <w:tcBorders>
              <w:top w:val="single" w:sz="8" w:color="E5FFFF"/>
            </w:tcBorders>
            <w:shd w:val="clear" w:color="auto" w:fill="E5FFFF"/>
          </w:tcPr>
          <w:p>
            <w:pPr>
              <w:spacing w:after="0"/>
              <w:rPr>
                <w:sz w:val="2"/>
                <w:szCs w:val="2"/>
                <w:color w:val="auto"/>
              </w:rPr>
            </w:pPr>
          </w:p>
        </w:tc>
        <w:tc>
          <w:tcPr>
            <w:tcW w:w="360" w:type="dxa"/>
            <w:vAlign w:val="bottom"/>
            <w:tcBorders>
              <w:top w:val="single" w:sz="8" w:color="E5FFFF"/>
            </w:tcBorders>
            <w:shd w:val="clear" w:color="auto" w:fill="E5FFFF"/>
          </w:tcPr>
          <w:p>
            <w:pPr>
              <w:spacing w:after="0"/>
              <w:rPr>
                <w:sz w:val="2"/>
                <w:szCs w:val="2"/>
                <w:color w:val="auto"/>
              </w:rPr>
            </w:pPr>
          </w:p>
        </w:tc>
        <w:tc>
          <w:tcPr>
            <w:tcW w:w="360" w:type="dxa"/>
            <w:vAlign w:val="bottom"/>
            <w:tcBorders>
              <w:top w:val="single" w:sz="8" w:color="0000EE"/>
            </w:tcBorders>
            <w:shd w:val="clear" w:color="auto" w:fill="E5FFFF"/>
          </w:tcPr>
          <w:p>
            <w:pPr>
              <w:spacing w:after="0"/>
              <w:rPr>
                <w:sz w:val="2"/>
                <w:szCs w:val="2"/>
                <w:color w:val="auto"/>
              </w:rPr>
            </w:pPr>
          </w:p>
        </w:tc>
        <w:tc>
          <w:tcPr>
            <w:tcW w:w="280" w:type="dxa"/>
            <w:vAlign w:val="bottom"/>
            <w:tcBorders>
              <w:top w:val="single" w:sz="8" w:color="0000EE"/>
            </w:tcBorders>
            <w:shd w:val="clear" w:color="auto" w:fill="E5FFFF"/>
          </w:tcPr>
          <w:p>
            <w:pPr>
              <w:spacing w:after="0"/>
              <w:rPr>
                <w:sz w:val="2"/>
                <w:szCs w:val="2"/>
                <w:color w:val="auto"/>
              </w:rPr>
            </w:pPr>
          </w:p>
        </w:tc>
        <w:tc>
          <w:tcPr>
            <w:tcW w:w="360" w:type="dxa"/>
            <w:vAlign w:val="bottom"/>
            <w:tcBorders>
              <w:top w:val="single" w:sz="8" w:color="0000EE"/>
            </w:tcBorders>
            <w:shd w:val="clear" w:color="auto" w:fill="E5FFFF"/>
          </w:tcPr>
          <w:p>
            <w:pPr>
              <w:spacing w:after="0"/>
              <w:rPr>
                <w:sz w:val="2"/>
                <w:szCs w:val="2"/>
                <w:color w:val="auto"/>
              </w:rPr>
            </w:pPr>
          </w:p>
        </w:tc>
        <w:tc>
          <w:tcPr>
            <w:tcW w:w="4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160" w:type="dxa"/>
            <w:vAlign w:val="bottom"/>
            <w:tcBorders>
              <w:top w:val="single" w:sz="8" w:color="0000EE"/>
            </w:tcBorders>
            <w:shd w:val="clear" w:color="auto" w:fill="E5FFFF"/>
          </w:tcPr>
          <w:p>
            <w:pPr>
              <w:spacing w:after="0"/>
              <w:rPr>
                <w:sz w:val="2"/>
                <w:szCs w:val="2"/>
                <w:color w:val="auto"/>
              </w:rPr>
            </w:pPr>
          </w:p>
        </w:tc>
        <w:tc>
          <w:tcPr>
            <w:tcW w:w="20" w:type="dxa"/>
            <w:vAlign w:val="bottom"/>
            <w:tcBorders>
              <w:top w:val="single" w:sz="8" w:color="0000EE"/>
            </w:tcBorders>
            <w:shd w:val="clear" w:color="auto" w:fill="E5FFFF"/>
          </w:tcPr>
          <w:p>
            <w:pPr>
              <w:spacing w:after="0"/>
              <w:rPr>
                <w:sz w:val="2"/>
                <w:szCs w:val="2"/>
                <w:color w:val="auto"/>
              </w:rPr>
            </w:pPr>
          </w:p>
        </w:tc>
        <w:tc>
          <w:tcPr>
            <w:tcW w:w="20" w:type="dxa"/>
            <w:vAlign w:val="bottom"/>
            <w:tcBorders>
              <w:top w:val="single" w:sz="8" w:color="0000EE"/>
            </w:tcBorders>
            <w:shd w:val="clear" w:color="auto" w:fill="E5FFFF"/>
          </w:tcPr>
          <w:p>
            <w:pPr>
              <w:spacing w:after="0"/>
              <w:rPr>
                <w:sz w:val="2"/>
                <w:szCs w:val="2"/>
                <w:color w:val="auto"/>
              </w:rPr>
            </w:pPr>
          </w:p>
        </w:tc>
        <w:tc>
          <w:tcPr>
            <w:tcW w:w="500" w:type="dxa"/>
            <w:vAlign w:val="bottom"/>
            <w:tcBorders>
              <w:top w:val="single" w:sz="8" w:color="0000EE"/>
            </w:tcBorders>
            <w:shd w:val="clear" w:color="auto" w:fill="E5FFFF"/>
          </w:tcPr>
          <w:p>
            <w:pPr>
              <w:spacing w:after="0"/>
              <w:rPr>
                <w:sz w:val="2"/>
                <w:szCs w:val="2"/>
                <w:color w:val="auto"/>
              </w:rPr>
            </w:pPr>
          </w:p>
        </w:tc>
        <w:tc>
          <w:tcPr>
            <w:tcW w:w="100" w:type="dxa"/>
            <w:vAlign w:val="bottom"/>
            <w:tcBorders>
              <w:top w:val="single" w:sz="8" w:color="0000EE"/>
            </w:tcBorders>
            <w:shd w:val="clear" w:color="auto" w:fill="E5FFFF"/>
          </w:tcPr>
          <w:p>
            <w:pPr>
              <w:spacing w:after="0"/>
              <w:rPr>
                <w:sz w:val="2"/>
                <w:szCs w:val="2"/>
                <w:color w:val="auto"/>
              </w:rPr>
            </w:pPr>
          </w:p>
        </w:tc>
        <w:tc>
          <w:tcPr>
            <w:tcW w:w="6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280" w:type="dxa"/>
            <w:vAlign w:val="bottom"/>
            <w:tcBorders>
              <w:top w:val="single" w:sz="8" w:color="0000EE"/>
            </w:tcBorders>
            <w:shd w:val="clear" w:color="auto" w:fill="E5FFFF"/>
          </w:tcPr>
          <w:p>
            <w:pPr>
              <w:spacing w:after="0"/>
              <w:rPr>
                <w:sz w:val="2"/>
                <w:szCs w:val="2"/>
                <w:color w:val="auto"/>
              </w:rPr>
            </w:pPr>
          </w:p>
        </w:tc>
        <w:tc>
          <w:tcPr>
            <w:tcW w:w="40" w:type="dxa"/>
            <w:vAlign w:val="bottom"/>
            <w:tcBorders>
              <w:top w:val="single" w:sz="8" w:color="0000EE"/>
            </w:tcBorders>
            <w:shd w:val="clear" w:color="auto" w:fill="E5FFFF"/>
          </w:tcPr>
          <w:p>
            <w:pPr>
              <w:spacing w:after="0"/>
              <w:rPr>
                <w:sz w:val="2"/>
                <w:szCs w:val="2"/>
                <w:color w:val="auto"/>
              </w:rPr>
            </w:pPr>
          </w:p>
        </w:tc>
        <w:tc>
          <w:tcPr>
            <w:tcW w:w="340" w:type="dxa"/>
            <w:vAlign w:val="bottom"/>
            <w:tcBorders>
              <w:top w:val="single" w:sz="8" w:color="E5FFFF"/>
            </w:tcBorders>
            <w:shd w:val="clear" w:color="auto" w:fill="E5FFFF"/>
          </w:tcPr>
          <w:p>
            <w:pPr>
              <w:spacing w:after="0"/>
              <w:rPr>
                <w:sz w:val="2"/>
                <w:szCs w:val="2"/>
                <w:color w:val="auto"/>
              </w:rPr>
            </w:pPr>
          </w:p>
        </w:tc>
        <w:tc>
          <w:tcPr>
            <w:tcW w:w="20" w:type="dxa"/>
            <w:vAlign w:val="bottom"/>
            <w:tcBorders>
              <w:top w:val="single" w:sz="8" w:color="E5FFFF"/>
            </w:tcBorders>
            <w:shd w:val="clear" w:color="auto" w:fill="E5FFFF"/>
          </w:tcPr>
          <w:p>
            <w:pPr>
              <w:spacing w:after="0"/>
              <w:rPr>
                <w:sz w:val="2"/>
                <w:szCs w:val="2"/>
                <w:color w:val="auto"/>
              </w:rPr>
            </w:pPr>
          </w:p>
        </w:tc>
        <w:tc>
          <w:tcPr>
            <w:tcW w:w="200" w:type="dxa"/>
            <w:vAlign w:val="bottom"/>
            <w:tcBorders>
              <w:top w:val="single" w:sz="8" w:color="E5FFFF"/>
            </w:tcBorders>
            <w:shd w:val="clear" w:color="auto" w:fill="E5FFFF"/>
          </w:tcPr>
          <w:p>
            <w:pPr>
              <w:spacing w:after="0"/>
              <w:rPr>
                <w:sz w:val="2"/>
                <w:szCs w:val="2"/>
                <w:color w:val="auto"/>
              </w:rPr>
            </w:pPr>
          </w:p>
        </w:tc>
        <w:tc>
          <w:tcPr>
            <w:tcW w:w="640" w:type="dxa"/>
            <w:vAlign w:val="bottom"/>
            <w:tcBorders>
              <w:top w:val="single" w:sz="8" w:color="E5FFFF"/>
            </w:tcBorders>
            <w:shd w:val="clear" w:color="auto" w:fill="E5FFFF"/>
          </w:tcPr>
          <w:p>
            <w:pPr>
              <w:spacing w:after="0"/>
              <w:rPr>
                <w:sz w:val="2"/>
                <w:szCs w:val="2"/>
                <w:color w:val="auto"/>
              </w:rPr>
            </w:pPr>
          </w:p>
        </w:tc>
        <w:tc>
          <w:tcPr>
            <w:tcW w:w="500" w:type="dxa"/>
            <w:vAlign w:val="bottom"/>
            <w:tcBorders>
              <w:top w:val="single" w:sz="8" w:color="E5FFFF"/>
            </w:tcBorders>
            <w:shd w:val="clear" w:color="auto" w:fill="E5FFFF"/>
          </w:tcPr>
          <w:p>
            <w:pPr>
              <w:spacing w:after="0"/>
              <w:rPr>
                <w:sz w:val="2"/>
                <w:szCs w:val="2"/>
                <w:color w:val="auto"/>
              </w:rPr>
            </w:pPr>
          </w:p>
        </w:tc>
        <w:tc>
          <w:tcPr>
            <w:tcW w:w="280" w:type="dxa"/>
            <w:vAlign w:val="bottom"/>
            <w:tcBorders>
              <w:top w:val="single" w:sz="8" w:color="E5FFFF"/>
            </w:tcBorders>
            <w:shd w:val="clear" w:color="auto" w:fill="E5FFFF"/>
          </w:tcPr>
          <w:p>
            <w:pPr>
              <w:spacing w:after="0"/>
              <w:rPr>
                <w:sz w:val="2"/>
                <w:szCs w:val="2"/>
                <w:color w:val="auto"/>
              </w:rPr>
            </w:pPr>
          </w:p>
        </w:tc>
        <w:tc>
          <w:tcPr>
            <w:tcW w:w="260" w:type="dxa"/>
            <w:vAlign w:val="bottom"/>
            <w:tcBorders>
              <w:top w:val="single" w:sz="8" w:color="E5FFFF"/>
            </w:tcBorders>
            <w:shd w:val="clear" w:color="auto" w:fill="E5FFFF"/>
          </w:tcPr>
          <w:p>
            <w:pPr>
              <w:spacing w:after="0"/>
              <w:rPr>
                <w:sz w:val="2"/>
                <w:szCs w:val="2"/>
                <w:color w:val="auto"/>
              </w:rPr>
            </w:pPr>
          </w:p>
        </w:tc>
        <w:tc>
          <w:tcPr>
            <w:tcW w:w="860" w:type="dxa"/>
            <w:vAlign w:val="bottom"/>
            <w:tcBorders>
              <w:top w:val="single" w:sz="8" w:color="E5FFFF"/>
            </w:tcBorders>
            <w:shd w:val="clear" w:color="auto" w:fill="E5FFFF"/>
          </w:tcPr>
          <w:p>
            <w:pPr>
              <w:spacing w:after="0"/>
              <w:rPr>
                <w:sz w:val="2"/>
                <w:szCs w:val="2"/>
                <w:color w:val="auto"/>
              </w:rPr>
            </w:pPr>
          </w:p>
        </w:tc>
        <w:tc>
          <w:tcPr>
            <w:tcW w:w="180" w:type="dxa"/>
            <w:vAlign w:val="bottom"/>
            <w:tcBorders>
              <w:top w:val="single" w:sz="8" w:color="E5FFFF"/>
            </w:tcBorders>
            <w:shd w:val="clear" w:color="auto" w:fill="E5FFFF"/>
          </w:tcPr>
          <w:p>
            <w:pPr>
              <w:spacing w:after="0"/>
              <w:rPr>
                <w:sz w:val="2"/>
                <w:szCs w:val="2"/>
                <w:color w:val="auto"/>
              </w:rPr>
            </w:pPr>
          </w:p>
        </w:tc>
        <w:tc>
          <w:tcPr>
            <w:tcW w:w="2720" w:type="dxa"/>
            <w:vAlign w:val="bottom"/>
            <w:tcBorders>
              <w:top w:val="single" w:sz="8" w:color="E5FFFF"/>
            </w:tcBorders>
            <w:shd w:val="clear" w:color="auto" w:fill="E5FFFF"/>
          </w:tcPr>
          <w:p>
            <w:pPr>
              <w:spacing w:after="0"/>
              <w:rPr>
                <w:sz w:val="2"/>
                <w:szCs w:val="2"/>
                <w:color w:val="auto"/>
              </w:rPr>
            </w:pPr>
          </w:p>
        </w:tc>
        <w:tc>
          <w:tcPr>
            <w:tcW w:w="2120" w:type="dxa"/>
            <w:vAlign w:val="bottom"/>
            <w:tcBorders>
              <w:top w:val="single" w:sz="8" w:color="E5FFFF"/>
            </w:tcBorders>
            <w:shd w:val="clear" w:color="auto" w:fill="E5FFFF"/>
          </w:tcPr>
          <w:p>
            <w:pPr>
              <w:spacing w:after="0"/>
              <w:rPr>
                <w:sz w:val="2"/>
                <w:szCs w:val="2"/>
                <w:color w:val="auto"/>
              </w:rPr>
            </w:pPr>
          </w:p>
        </w:tc>
        <w:tc>
          <w:tcPr>
            <w:tcW w:w="540" w:type="dxa"/>
            <w:vAlign w:val="bottom"/>
            <w:tcBorders>
              <w:top w:val="single" w:sz="8" w:color="E5FFFF"/>
            </w:tcBorders>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860" w:type="dxa"/>
            <w:vAlign w:val="bottom"/>
            <w:gridSpan w:val="26"/>
          </w:tcPr>
          <w:p>
            <w:pPr>
              <w:spacing w:after="0" w:line="216" w:lineRule="exact"/>
              <w:rPr>
                <w:sz w:val="20"/>
                <w:szCs w:val="20"/>
                <w:color w:val="auto"/>
              </w:rPr>
            </w:pPr>
            <w:r>
              <w:rPr>
                <w:rFonts w:ascii="Arial" w:cs="Arial" w:eastAsia="Arial" w:hAnsi="Arial"/>
                <w:sz w:val="19"/>
                <w:szCs w:val="19"/>
                <w:b w:val="1"/>
                <w:bCs w:val="1"/>
                <w:color w:val="0000EE"/>
              </w:rPr>
              <w:t>Proposal 2: Ratification of the Appointment of Independent Accountants</w:t>
            </w:r>
          </w:p>
        </w:tc>
        <w:tc>
          <w:tcPr>
            <w:tcW w:w="540" w:type="dxa"/>
            <w:vAlign w:val="bottom"/>
          </w:tcPr>
          <w:p>
            <w:pPr>
              <w:jc w:val="right"/>
              <w:ind w:right="4"/>
              <w:spacing w:after="0" w:line="216" w:lineRule="exact"/>
              <w:rPr>
                <w:sz w:val="20"/>
                <w:szCs w:val="20"/>
                <w:color w:val="auto"/>
              </w:rPr>
            </w:pPr>
            <w:r>
              <w:rPr>
                <w:rFonts w:ascii="Arial" w:cs="Arial" w:eastAsia="Arial" w:hAnsi="Arial"/>
                <w:sz w:val="19"/>
                <w:szCs w:val="19"/>
                <w:color w:val="auto"/>
              </w:rPr>
              <w:t>55</w:t>
            </w:r>
          </w:p>
        </w:tc>
      </w:tr>
      <w:tr>
        <w:trPr>
          <w:trHeight w:val="34"/>
        </w:trPr>
        <w:tc>
          <w:tcPr>
            <w:tcW w:w="2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860" w:type="dxa"/>
            <w:vAlign w:val="bottom"/>
            <w:gridSpan w:val="26"/>
            <w:shd w:val="clear" w:color="auto" w:fill="E5FFFF"/>
          </w:tcPr>
          <w:p>
            <w:pPr>
              <w:ind w:left="360"/>
              <w:spacing w:after="0" w:line="216" w:lineRule="exact"/>
              <w:rPr>
                <w:sz w:val="20"/>
                <w:szCs w:val="20"/>
                <w:color w:val="auto"/>
              </w:rPr>
            </w:pPr>
            <w:r>
              <w:rPr>
                <w:rFonts w:ascii="Arial" w:cs="Arial" w:eastAsia="Arial" w:hAnsi="Arial"/>
                <w:sz w:val="19"/>
                <w:szCs w:val="19"/>
                <w:color w:val="0000EE"/>
              </w:rPr>
              <w:t>Audit and Non-Audit Fees</w:t>
            </w:r>
          </w:p>
        </w:tc>
        <w:tc>
          <w:tcPr>
            <w:tcW w:w="540" w:type="dxa"/>
            <w:vAlign w:val="bottom"/>
            <w:shd w:val="clear" w:color="auto" w:fill="E5FFFF"/>
          </w:tcPr>
          <w:p>
            <w:pPr>
              <w:jc w:val="right"/>
              <w:ind w:right="4"/>
              <w:spacing w:after="0" w:line="216" w:lineRule="exact"/>
              <w:rPr>
                <w:sz w:val="20"/>
                <w:szCs w:val="20"/>
                <w:color w:val="auto"/>
              </w:rPr>
            </w:pPr>
            <w:r>
              <w:rPr>
                <w:rFonts w:ascii="Arial" w:cs="Arial" w:eastAsia="Arial" w:hAnsi="Arial"/>
                <w:sz w:val="19"/>
                <w:szCs w:val="19"/>
                <w:color w:val="auto"/>
              </w:rPr>
              <w:t>55</w:t>
            </w:r>
          </w:p>
        </w:tc>
      </w:tr>
      <w:tr>
        <w:trPr>
          <w:trHeight w:val="34"/>
        </w:trPr>
        <w:tc>
          <w:tcPr>
            <w:tcW w:w="20" w:type="dxa"/>
            <w:vAlign w:val="bottom"/>
            <w:tcBorders>
              <w:top w:val="single" w:sz="8" w:color="E5FFFF"/>
            </w:tcBorders>
            <w:shd w:val="clear" w:color="auto" w:fill="E5FFFF"/>
          </w:tcPr>
          <w:p>
            <w:pPr>
              <w:spacing w:after="0"/>
              <w:rPr>
                <w:sz w:val="2"/>
                <w:szCs w:val="2"/>
                <w:color w:val="auto"/>
              </w:rPr>
            </w:pPr>
          </w:p>
        </w:tc>
        <w:tc>
          <w:tcPr>
            <w:tcW w:w="360" w:type="dxa"/>
            <w:vAlign w:val="bottom"/>
            <w:tcBorders>
              <w:top w:val="single" w:sz="8" w:color="E5FFFF"/>
            </w:tcBorders>
            <w:shd w:val="clear" w:color="auto" w:fill="E5FFFF"/>
          </w:tcPr>
          <w:p>
            <w:pPr>
              <w:spacing w:after="0"/>
              <w:rPr>
                <w:sz w:val="2"/>
                <w:szCs w:val="2"/>
                <w:color w:val="auto"/>
              </w:rPr>
            </w:pPr>
          </w:p>
        </w:tc>
        <w:tc>
          <w:tcPr>
            <w:tcW w:w="360" w:type="dxa"/>
            <w:vAlign w:val="bottom"/>
            <w:tcBorders>
              <w:top w:val="single" w:sz="8" w:color="0000EE"/>
            </w:tcBorders>
            <w:shd w:val="clear" w:color="auto" w:fill="E5FFFF"/>
          </w:tcPr>
          <w:p>
            <w:pPr>
              <w:spacing w:after="0"/>
              <w:rPr>
                <w:sz w:val="2"/>
                <w:szCs w:val="2"/>
                <w:color w:val="auto"/>
              </w:rPr>
            </w:pPr>
          </w:p>
        </w:tc>
        <w:tc>
          <w:tcPr>
            <w:tcW w:w="280" w:type="dxa"/>
            <w:vAlign w:val="bottom"/>
            <w:tcBorders>
              <w:top w:val="single" w:sz="8" w:color="0000EE"/>
            </w:tcBorders>
            <w:shd w:val="clear" w:color="auto" w:fill="E5FFFF"/>
          </w:tcPr>
          <w:p>
            <w:pPr>
              <w:spacing w:after="0"/>
              <w:rPr>
                <w:sz w:val="2"/>
                <w:szCs w:val="2"/>
                <w:color w:val="auto"/>
              </w:rPr>
            </w:pPr>
          </w:p>
        </w:tc>
        <w:tc>
          <w:tcPr>
            <w:tcW w:w="360" w:type="dxa"/>
            <w:vAlign w:val="bottom"/>
            <w:tcBorders>
              <w:top w:val="single" w:sz="8" w:color="0000EE"/>
            </w:tcBorders>
            <w:shd w:val="clear" w:color="auto" w:fill="E5FFFF"/>
          </w:tcPr>
          <w:p>
            <w:pPr>
              <w:spacing w:after="0"/>
              <w:rPr>
                <w:sz w:val="2"/>
                <w:szCs w:val="2"/>
                <w:color w:val="auto"/>
              </w:rPr>
            </w:pPr>
          </w:p>
        </w:tc>
        <w:tc>
          <w:tcPr>
            <w:tcW w:w="4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160" w:type="dxa"/>
            <w:vAlign w:val="bottom"/>
            <w:tcBorders>
              <w:top w:val="single" w:sz="8" w:color="0000EE"/>
            </w:tcBorders>
            <w:shd w:val="clear" w:color="auto" w:fill="E5FFFF"/>
          </w:tcPr>
          <w:p>
            <w:pPr>
              <w:spacing w:after="0"/>
              <w:rPr>
                <w:sz w:val="2"/>
                <w:szCs w:val="2"/>
                <w:color w:val="auto"/>
              </w:rPr>
            </w:pPr>
          </w:p>
        </w:tc>
        <w:tc>
          <w:tcPr>
            <w:tcW w:w="20" w:type="dxa"/>
            <w:vAlign w:val="bottom"/>
            <w:tcBorders>
              <w:top w:val="single" w:sz="8" w:color="0000EE"/>
            </w:tcBorders>
            <w:shd w:val="clear" w:color="auto" w:fill="E5FFFF"/>
          </w:tcPr>
          <w:p>
            <w:pPr>
              <w:spacing w:after="0"/>
              <w:rPr>
                <w:sz w:val="2"/>
                <w:szCs w:val="2"/>
                <w:color w:val="auto"/>
              </w:rPr>
            </w:pPr>
          </w:p>
        </w:tc>
        <w:tc>
          <w:tcPr>
            <w:tcW w:w="20" w:type="dxa"/>
            <w:vAlign w:val="bottom"/>
            <w:tcBorders>
              <w:top w:val="single" w:sz="8" w:color="0000EE"/>
            </w:tcBorders>
            <w:shd w:val="clear" w:color="auto" w:fill="E5FFFF"/>
          </w:tcPr>
          <w:p>
            <w:pPr>
              <w:spacing w:after="0"/>
              <w:rPr>
                <w:sz w:val="2"/>
                <w:szCs w:val="2"/>
                <w:color w:val="auto"/>
              </w:rPr>
            </w:pPr>
          </w:p>
        </w:tc>
        <w:tc>
          <w:tcPr>
            <w:tcW w:w="500" w:type="dxa"/>
            <w:vAlign w:val="bottom"/>
            <w:tcBorders>
              <w:top w:val="single" w:sz="8" w:color="0000EE"/>
            </w:tcBorders>
            <w:shd w:val="clear" w:color="auto" w:fill="E5FFFF"/>
          </w:tcPr>
          <w:p>
            <w:pPr>
              <w:spacing w:after="0"/>
              <w:rPr>
                <w:sz w:val="2"/>
                <w:szCs w:val="2"/>
                <w:color w:val="auto"/>
              </w:rPr>
            </w:pPr>
          </w:p>
        </w:tc>
        <w:tc>
          <w:tcPr>
            <w:tcW w:w="100" w:type="dxa"/>
            <w:vAlign w:val="bottom"/>
            <w:tcBorders>
              <w:top w:val="single" w:sz="8" w:color="0000EE"/>
            </w:tcBorders>
            <w:shd w:val="clear" w:color="auto" w:fill="E5FFFF"/>
          </w:tcPr>
          <w:p>
            <w:pPr>
              <w:spacing w:after="0"/>
              <w:rPr>
                <w:sz w:val="2"/>
                <w:szCs w:val="2"/>
                <w:color w:val="auto"/>
              </w:rPr>
            </w:pPr>
          </w:p>
        </w:tc>
        <w:tc>
          <w:tcPr>
            <w:tcW w:w="6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280" w:type="dxa"/>
            <w:vAlign w:val="bottom"/>
            <w:tcBorders>
              <w:top w:val="single" w:sz="8" w:color="E5FFFF"/>
            </w:tcBorders>
            <w:shd w:val="clear" w:color="auto" w:fill="E5FFFF"/>
          </w:tcPr>
          <w:p>
            <w:pPr>
              <w:spacing w:after="0"/>
              <w:rPr>
                <w:sz w:val="2"/>
                <w:szCs w:val="2"/>
                <w:color w:val="auto"/>
              </w:rPr>
            </w:pPr>
          </w:p>
        </w:tc>
        <w:tc>
          <w:tcPr>
            <w:tcW w:w="40" w:type="dxa"/>
            <w:vAlign w:val="bottom"/>
            <w:tcBorders>
              <w:top w:val="single" w:sz="8" w:color="E5FFFF"/>
            </w:tcBorders>
            <w:shd w:val="clear" w:color="auto" w:fill="E5FFFF"/>
          </w:tcPr>
          <w:p>
            <w:pPr>
              <w:spacing w:after="0"/>
              <w:rPr>
                <w:sz w:val="2"/>
                <w:szCs w:val="2"/>
                <w:color w:val="auto"/>
              </w:rPr>
            </w:pPr>
          </w:p>
        </w:tc>
        <w:tc>
          <w:tcPr>
            <w:tcW w:w="340" w:type="dxa"/>
            <w:vAlign w:val="bottom"/>
            <w:tcBorders>
              <w:top w:val="single" w:sz="8" w:color="E5FFFF"/>
            </w:tcBorders>
            <w:shd w:val="clear" w:color="auto" w:fill="E5FFFF"/>
          </w:tcPr>
          <w:p>
            <w:pPr>
              <w:spacing w:after="0"/>
              <w:rPr>
                <w:sz w:val="2"/>
                <w:szCs w:val="2"/>
                <w:color w:val="auto"/>
              </w:rPr>
            </w:pPr>
          </w:p>
        </w:tc>
        <w:tc>
          <w:tcPr>
            <w:tcW w:w="20" w:type="dxa"/>
            <w:vAlign w:val="bottom"/>
            <w:tcBorders>
              <w:top w:val="single" w:sz="8" w:color="E5FFFF"/>
            </w:tcBorders>
            <w:shd w:val="clear" w:color="auto" w:fill="E5FFFF"/>
          </w:tcPr>
          <w:p>
            <w:pPr>
              <w:spacing w:after="0"/>
              <w:rPr>
                <w:sz w:val="2"/>
                <w:szCs w:val="2"/>
                <w:color w:val="auto"/>
              </w:rPr>
            </w:pPr>
          </w:p>
        </w:tc>
        <w:tc>
          <w:tcPr>
            <w:tcW w:w="200" w:type="dxa"/>
            <w:vAlign w:val="bottom"/>
            <w:tcBorders>
              <w:top w:val="single" w:sz="8" w:color="E5FFFF"/>
            </w:tcBorders>
            <w:shd w:val="clear" w:color="auto" w:fill="E5FFFF"/>
          </w:tcPr>
          <w:p>
            <w:pPr>
              <w:spacing w:after="0"/>
              <w:rPr>
                <w:sz w:val="2"/>
                <w:szCs w:val="2"/>
                <w:color w:val="auto"/>
              </w:rPr>
            </w:pPr>
          </w:p>
        </w:tc>
        <w:tc>
          <w:tcPr>
            <w:tcW w:w="640" w:type="dxa"/>
            <w:vAlign w:val="bottom"/>
            <w:tcBorders>
              <w:top w:val="single" w:sz="8" w:color="E5FFFF"/>
            </w:tcBorders>
            <w:shd w:val="clear" w:color="auto" w:fill="E5FFFF"/>
          </w:tcPr>
          <w:p>
            <w:pPr>
              <w:spacing w:after="0"/>
              <w:rPr>
                <w:sz w:val="2"/>
                <w:szCs w:val="2"/>
                <w:color w:val="auto"/>
              </w:rPr>
            </w:pPr>
          </w:p>
        </w:tc>
        <w:tc>
          <w:tcPr>
            <w:tcW w:w="500" w:type="dxa"/>
            <w:vAlign w:val="bottom"/>
            <w:tcBorders>
              <w:top w:val="single" w:sz="8" w:color="E5FFFF"/>
            </w:tcBorders>
            <w:shd w:val="clear" w:color="auto" w:fill="E5FFFF"/>
          </w:tcPr>
          <w:p>
            <w:pPr>
              <w:spacing w:after="0"/>
              <w:rPr>
                <w:sz w:val="2"/>
                <w:szCs w:val="2"/>
                <w:color w:val="auto"/>
              </w:rPr>
            </w:pPr>
          </w:p>
        </w:tc>
        <w:tc>
          <w:tcPr>
            <w:tcW w:w="280" w:type="dxa"/>
            <w:vAlign w:val="bottom"/>
            <w:tcBorders>
              <w:top w:val="single" w:sz="8" w:color="E5FFFF"/>
            </w:tcBorders>
            <w:shd w:val="clear" w:color="auto" w:fill="E5FFFF"/>
          </w:tcPr>
          <w:p>
            <w:pPr>
              <w:spacing w:after="0"/>
              <w:rPr>
                <w:sz w:val="2"/>
                <w:szCs w:val="2"/>
                <w:color w:val="auto"/>
              </w:rPr>
            </w:pPr>
          </w:p>
        </w:tc>
        <w:tc>
          <w:tcPr>
            <w:tcW w:w="260" w:type="dxa"/>
            <w:vAlign w:val="bottom"/>
            <w:tcBorders>
              <w:top w:val="single" w:sz="8" w:color="E5FFFF"/>
            </w:tcBorders>
            <w:shd w:val="clear" w:color="auto" w:fill="E5FFFF"/>
          </w:tcPr>
          <w:p>
            <w:pPr>
              <w:spacing w:after="0"/>
              <w:rPr>
                <w:sz w:val="2"/>
                <w:szCs w:val="2"/>
                <w:color w:val="auto"/>
              </w:rPr>
            </w:pPr>
          </w:p>
        </w:tc>
        <w:tc>
          <w:tcPr>
            <w:tcW w:w="860" w:type="dxa"/>
            <w:vAlign w:val="bottom"/>
            <w:tcBorders>
              <w:top w:val="single" w:sz="8" w:color="E5FFFF"/>
            </w:tcBorders>
            <w:shd w:val="clear" w:color="auto" w:fill="E5FFFF"/>
          </w:tcPr>
          <w:p>
            <w:pPr>
              <w:spacing w:after="0"/>
              <w:rPr>
                <w:sz w:val="2"/>
                <w:szCs w:val="2"/>
                <w:color w:val="auto"/>
              </w:rPr>
            </w:pPr>
          </w:p>
        </w:tc>
        <w:tc>
          <w:tcPr>
            <w:tcW w:w="180" w:type="dxa"/>
            <w:vAlign w:val="bottom"/>
            <w:tcBorders>
              <w:top w:val="single" w:sz="8" w:color="E5FFFF"/>
            </w:tcBorders>
            <w:shd w:val="clear" w:color="auto" w:fill="E5FFFF"/>
          </w:tcPr>
          <w:p>
            <w:pPr>
              <w:spacing w:after="0"/>
              <w:rPr>
                <w:sz w:val="2"/>
                <w:szCs w:val="2"/>
                <w:color w:val="auto"/>
              </w:rPr>
            </w:pPr>
          </w:p>
        </w:tc>
        <w:tc>
          <w:tcPr>
            <w:tcW w:w="2720" w:type="dxa"/>
            <w:vAlign w:val="bottom"/>
            <w:tcBorders>
              <w:top w:val="single" w:sz="8" w:color="E5FFFF"/>
            </w:tcBorders>
            <w:shd w:val="clear" w:color="auto" w:fill="E5FFFF"/>
          </w:tcPr>
          <w:p>
            <w:pPr>
              <w:spacing w:after="0"/>
              <w:rPr>
                <w:sz w:val="2"/>
                <w:szCs w:val="2"/>
                <w:color w:val="auto"/>
              </w:rPr>
            </w:pPr>
          </w:p>
        </w:tc>
        <w:tc>
          <w:tcPr>
            <w:tcW w:w="2120" w:type="dxa"/>
            <w:vAlign w:val="bottom"/>
            <w:tcBorders>
              <w:top w:val="single" w:sz="8" w:color="E5FFFF"/>
            </w:tcBorders>
            <w:shd w:val="clear" w:color="auto" w:fill="E5FFFF"/>
          </w:tcPr>
          <w:p>
            <w:pPr>
              <w:spacing w:after="0"/>
              <w:rPr>
                <w:sz w:val="2"/>
                <w:szCs w:val="2"/>
                <w:color w:val="auto"/>
              </w:rPr>
            </w:pPr>
          </w:p>
        </w:tc>
        <w:tc>
          <w:tcPr>
            <w:tcW w:w="540" w:type="dxa"/>
            <w:vAlign w:val="bottom"/>
            <w:tcBorders>
              <w:top w:val="single" w:sz="8" w:color="E5FFFF"/>
            </w:tcBorders>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860" w:type="dxa"/>
            <w:vAlign w:val="bottom"/>
            <w:gridSpan w:val="26"/>
          </w:tcPr>
          <w:p>
            <w:pPr>
              <w:ind w:left="360"/>
              <w:spacing w:after="0" w:line="216" w:lineRule="exact"/>
              <w:rPr>
                <w:sz w:val="20"/>
                <w:szCs w:val="20"/>
                <w:color w:val="auto"/>
              </w:rPr>
            </w:pPr>
            <w:r>
              <w:rPr>
                <w:rFonts w:ascii="Arial" w:cs="Arial" w:eastAsia="Arial" w:hAnsi="Arial"/>
                <w:sz w:val="19"/>
                <w:szCs w:val="19"/>
                <w:color w:val="0000EE"/>
              </w:rPr>
              <w:t>Audit Committee Pre-Approval Policies and Procedures</w:t>
            </w:r>
          </w:p>
        </w:tc>
        <w:tc>
          <w:tcPr>
            <w:tcW w:w="540" w:type="dxa"/>
            <w:vAlign w:val="bottom"/>
          </w:tcPr>
          <w:p>
            <w:pPr>
              <w:jc w:val="right"/>
              <w:ind w:right="4"/>
              <w:spacing w:after="0" w:line="216" w:lineRule="exact"/>
              <w:rPr>
                <w:sz w:val="20"/>
                <w:szCs w:val="20"/>
                <w:color w:val="auto"/>
              </w:rPr>
            </w:pPr>
            <w:r>
              <w:rPr>
                <w:rFonts w:ascii="Arial" w:cs="Arial" w:eastAsia="Arial" w:hAnsi="Arial"/>
                <w:sz w:val="19"/>
                <w:szCs w:val="19"/>
                <w:color w:val="auto"/>
              </w:rPr>
              <w:t>55</w:t>
            </w:r>
          </w:p>
        </w:tc>
      </w:tr>
      <w:tr>
        <w:trPr>
          <w:trHeight w:val="34"/>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6"/>
        </w:trPr>
        <w:tc>
          <w:tcPr>
            <w:tcW w:w="20" w:type="dxa"/>
            <w:vAlign w:val="bottom"/>
            <w:shd w:val="clear" w:color="auto" w:fill="E5FFFF"/>
          </w:tcPr>
          <w:p>
            <w:pPr>
              <w:spacing w:after="0"/>
              <w:rPr>
                <w:sz w:val="18"/>
                <w:szCs w:val="18"/>
                <w:color w:val="auto"/>
              </w:rPr>
            </w:pPr>
          </w:p>
        </w:tc>
        <w:tc>
          <w:tcPr>
            <w:tcW w:w="10860" w:type="dxa"/>
            <w:vAlign w:val="bottom"/>
            <w:gridSpan w:val="26"/>
            <w:shd w:val="clear" w:color="auto" w:fill="E5FFFF"/>
          </w:tcPr>
          <w:p>
            <w:pPr>
              <w:ind w:left="360"/>
              <w:spacing w:after="0" w:line="216" w:lineRule="exact"/>
              <w:rPr>
                <w:sz w:val="20"/>
                <w:szCs w:val="20"/>
                <w:color w:val="auto"/>
              </w:rPr>
            </w:pPr>
            <w:r>
              <w:rPr>
                <w:rFonts w:ascii="Arial" w:cs="Arial" w:eastAsia="Arial" w:hAnsi="Arial"/>
                <w:sz w:val="19"/>
                <w:szCs w:val="19"/>
                <w:color w:val="0000EE"/>
              </w:rPr>
              <w:t>Audit Committee Report</w:t>
            </w:r>
          </w:p>
        </w:tc>
        <w:tc>
          <w:tcPr>
            <w:tcW w:w="540" w:type="dxa"/>
            <w:vAlign w:val="bottom"/>
            <w:shd w:val="clear" w:color="auto" w:fill="E5FFFF"/>
          </w:tcPr>
          <w:p>
            <w:pPr>
              <w:jc w:val="right"/>
              <w:ind w:right="4"/>
              <w:spacing w:after="0" w:line="216" w:lineRule="exact"/>
              <w:rPr>
                <w:sz w:val="20"/>
                <w:szCs w:val="20"/>
                <w:color w:val="auto"/>
              </w:rPr>
            </w:pPr>
            <w:r>
              <w:rPr>
                <w:rFonts w:ascii="Arial" w:cs="Arial" w:eastAsia="Arial" w:hAnsi="Arial"/>
                <w:sz w:val="19"/>
                <w:szCs w:val="19"/>
                <w:color w:val="auto"/>
              </w:rPr>
              <w:t>56</w:t>
            </w:r>
          </w:p>
        </w:tc>
      </w:tr>
      <w:tr>
        <w:trPr>
          <w:trHeight w:val="34"/>
        </w:trPr>
        <w:tc>
          <w:tcPr>
            <w:tcW w:w="20" w:type="dxa"/>
            <w:vAlign w:val="bottom"/>
            <w:tcBorders>
              <w:top w:val="single" w:sz="8" w:color="E5FFFF"/>
            </w:tcBorders>
            <w:shd w:val="clear" w:color="auto" w:fill="E5FFFF"/>
          </w:tcPr>
          <w:p>
            <w:pPr>
              <w:spacing w:after="0"/>
              <w:rPr>
                <w:sz w:val="2"/>
                <w:szCs w:val="2"/>
                <w:color w:val="auto"/>
              </w:rPr>
            </w:pPr>
          </w:p>
        </w:tc>
        <w:tc>
          <w:tcPr>
            <w:tcW w:w="360" w:type="dxa"/>
            <w:vAlign w:val="bottom"/>
            <w:tcBorders>
              <w:top w:val="single" w:sz="8" w:color="E5FFFF"/>
            </w:tcBorders>
            <w:shd w:val="clear" w:color="auto" w:fill="E5FFFF"/>
          </w:tcPr>
          <w:p>
            <w:pPr>
              <w:spacing w:after="0"/>
              <w:rPr>
                <w:sz w:val="2"/>
                <w:szCs w:val="2"/>
                <w:color w:val="auto"/>
              </w:rPr>
            </w:pPr>
          </w:p>
        </w:tc>
        <w:tc>
          <w:tcPr>
            <w:tcW w:w="360" w:type="dxa"/>
            <w:vAlign w:val="bottom"/>
            <w:tcBorders>
              <w:top w:val="single" w:sz="8" w:color="0000EE"/>
            </w:tcBorders>
            <w:shd w:val="clear" w:color="auto" w:fill="E5FFFF"/>
          </w:tcPr>
          <w:p>
            <w:pPr>
              <w:spacing w:after="0"/>
              <w:rPr>
                <w:sz w:val="2"/>
                <w:szCs w:val="2"/>
                <w:color w:val="auto"/>
              </w:rPr>
            </w:pPr>
          </w:p>
        </w:tc>
        <w:tc>
          <w:tcPr>
            <w:tcW w:w="280" w:type="dxa"/>
            <w:vAlign w:val="bottom"/>
            <w:tcBorders>
              <w:top w:val="single" w:sz="8" w:color="0000EE"/>
            </w:tcBorders>
            <w:shd w:val="clear" w:color="auto" w:fill="E5FFFF"/>
          </w:tcPr>
          <w:p>
            <w:pPr>
              <w:spacing w:after="0"/>
              <w:rPr>
                <w:sz w:val="2"/>
                <w:szCs w:val="2"/>
                <w:color w:val="auto"/>
              </w:rPr>
            </w:pPr>
          </w:p>
        </w:tc>
        <w:tc>
          <w:tcPr>
            <w:tcW w:w="360" w:type="dxa"/>
            <w:vAlign w:val="bottom"/>
            <w:tcBorders>
              <w:top w:val="single" w:sz="8" w:color="0000EE"/>
            </w:tcBorders>
            <w:shd w:val="clear" w:color="auto" w:fill="E5FFFF"/>
          </w:tcPr>
          <w:p>
            <w:pPr>
              <w:spacing w:after="0"/>
              <w:rPr>
                <w:sz w:val="2"/>
                <w:szCs w:val="2"/>
                <w:color w:val="auto"/>
              </w:rPr>
            </w:pPr>
          </w:p>
        </w:tc>
        <w:tc>
          <w:tcPr>
            <w:tcW w:w="40" w:type="dxa"/>
            <w:vAlign w:val="bottom"/>
            <w:tcBorders>
              <w:top w:val="single" w:sz="8" w:color="0000EE"/>
            </w:tcBorders>
            <w:shd w:val="clear" w:color="auto" w:fill="E5FFFF"/>
          </w:tcPr>
          <w:p>
            <w:pPr>
              <w:spacing w:after="0"/>
              <w:rPr>
                <w:sz w:val="2"/>
                <w:szCs w:val="2"/>
                <w:color w:val="auto"/>
              </w:rPr>
            </w:pPr>
          </w:p>
        </w:tc>
        <w:tc>
          <w:tcPr>
            <w:tcW w:w="80" w:type="dxa"/>
            <w:vAlign w:val="bottom"/>
            <w:tcBorders>
              <w:top w:val="single" w:sz="8" w:color="0000EE"/>
            </w:tcBorders>
            <w:shd w:val="clear" w:color="auto" w:fill="E5FFFF"/>
          </w:tcPr>
          <w:p>
            <w:pPr>
              <w:spacing w:after="0"/>
              <w:rPr>
                <w:sz w:val="2"/>
                <w:szCs w:val="2"/>
                <w:color w:val="auto"/>
              </w:rPr>
            </w:pPr>
          </w:p>
        </w:tc>
        <w:tc>
          <w:tcPr>
            <w:tcW w:w="160" w:type="dxa"/>
            <w:vAlign w:val="bottom"/>
            <w:tcBorders>
              <w:top w:val="single" w:sz="8" w:color="0000EE"/>
            </w:tcBorders>
            <w:shd w:val="clear" w:color="auto" w:fill="E5FFFF"/>
          </w:tcPr>
          <w:p>
            <w:pPr>
              <w:spacing w:after="0"/>
              <w:rPr>
                <w:sz w:val="2"/>
                <w:szCs w:val="2"/>
                <w:color w:val="auto"/>
              </w:rPr>
            </w:pPr>
          </w:p>
        </w:tc>
        <w:tc>
          <w:tcPr>
            <w:tcW w:w="20" w:type="dxa"/>
            <w:vAlign w:val="bottom"/>
            <w:tcBorders>
              <w:top w:val="single" w:sz="8" w:color="0000EE"/>
            </w:tcBorders>
            <w:shd w:val="clear" w:color="auto" w:fill="E5FFFF"/>
          </w:tcPr>
          <w:p>
            <w:pPr>
              <w:spacing w:after="0"/>
              <w:rPr>
                <w:sz w:val="2"/>
                <w:szCs w:val="2"/>
                <w:color w:val="auto"/>
              </w:rPr>
            </w:pPr>
          </w:p>
        </w:tc>
        <w:tc>
          <w:tcPr>
            <w:tcW w:w="20" w:type="dxa"/>
            <w:vAlign w:val="bottom"/>
            <w:tcBorders>
              <w:top w:val="single" w:sz="8" w:color="0000EE"/>
            </w:tcBorders>
            <w:shd w:val="clear" w:color="auto" w:fill="E5FFFF"/>
          </w:tcPr>
          <w:p>
            <w:pPr>
              <w:spacing w:after="0"/>
              <w:rPr>
                <w:sz w:val="2"/>
                <w:szCs w:val="2"/>
                <w:color w:val="auto"/>
              </w:rPr>
            </w:pPr>
          </w:p>
        </w:tc>
        <w:tc>
          <w:tcPr>
            <w:tcW w:w="500" w:type="dxa"/>
            <w:vAlign w:val="bottom"/>
            <w:tcBorders>
              <w:top w:val="single" w:sz="8" w:color="0000EE"/>
            </w:tcBorders>
            <w:shd w:val="clear" w:color="auto" w:fill="E5FFFF"/>
          </w:tcPr>
          <w:p>
            <w:pPr>
              <w:spacing w:after="0"/>
              <w:rPr>
                <w:sz w:val="2"/>
                <w:szCs w:val="2"/>
                <w:color w:val="auto"/>
              </w:rPr>
            </w:pPr>
          </w:p>
        </w:tc>
        <w:tc>
          <w:tcPr>
            <w:tcW w:w="100" w:type="dxa"/>
            <w:vAlign w:val="bottom"/>
            <w:tcBorders>
              <w:top w:val="single" w:sz="8" w:color="0000EE"/>
            </w:tcBorders>
            <w:shd w:val="clear" w:color="auto" w:fill="E5FFFF"/>
          </w:tcPr>
          <w:p>
            <w:pPr>
              <w:spacing w:after="0"/>
              <w:rPr>
                <w:sz w:val="2"/>
                <w:szCs w:val="2"/>
                <w:color w:val="auto"/>
              </w:rPr>
            </w:pPr>
          </w:p>
        </w:tc>
        <w:tc>
          <w:tcPr>
            <w:tcW w:w="60" w:type="dxa"/>
            <w:vAlign w:val="bottom"/>
            <w:tcBorders>
              <w:top w:val="single" w:sz="8" w:color="E5FFFF"/>
            </w:tcBorders>
            <w:shd w:val="clear" w:color="auto" w:fill="E5FFFF"/>
          </w:tcPr>
          <w:p>
            <w:pPr>
              <w:spacing w:after="0"/>
              <w:rPr>
                <w:sz w:val="2"/>
                <w:szCs w:val="2"/>
                <w:color w:val="auto"/>
              </w:rPr>
            </w:pPr>
          </w:p>
        </w:tc>
        <w:tc>
          <w:tcPr>
            <w:tcW w:w="80" w:type="dxa"/>
            <w:vAlign w:val="bottom"/>
            <w:tcBorders>
              <w:top w:val="single" w:sz="8" w:color="E5FFFF"/>
            </w:tcBorders>
            <w:shd w:val="clear" w:color="auto" w:fill="E5FFFF"/>
          </w:tcPr>
          <w:p>
            <w:pPr>
              <w:spacing w:after="0"/>
              <w:rPr>
                <w:sz w:val="2"/>
                <w:szCs w:val="2"/>
                <w:color w:val="auto"/>
              </w:rPr>
            </w:pPr>
          </w:p>
        </w:tc>
        <w:tc>
          <w:tcPr>
            <w:tcW w:w="280" w:type="dxa"/>
            <w:vAlign w:val="bottom"/>
            <w:tcBorders>
              <w:top w:val="single" w:sz="8" w:color="E5FFFF"/>
            </w:tcBorders>
            <w:shd w:val="clear" w:color="auto" w:fill="E5FFFF"/>
          </w:tcPr>
          <w:p>
            <w:pPr>
              <w:spacing w:after="0"/>
              <w:rPr>
                <w:sz w:val="2"/>
                <w:szCs w:val="2"/>
                <w:color w:val="auto"/>
              </w:rPr>
            </w:pPr>
          </w:p>
        </w:tc>
        <w:tc>
          <w:tcPr>
            <w:tcW w:w="40" w:type="dxa"/>
            <w:vAlign w:val="bottom"/>
            <w:tcBorders>
              <w:top w:val="single" w:sz="8" w:color="E5FFFF"/>
            </w:tcBorders>
            <w:shd w:val="clear" w:color="auto" w:fill="E5FFFF"/>
          </w:tcPr>
          <w:p>
            <w:pPr>
              <w:spacing w:after="0"/>
              <w:rPr>
                <w:sz w:val="2"/>
                <w:szCs w:val="2"/>
                <w:color w:val="auto"/>
              </w:rPr>
            </w:pPr>
          </w:p>
        </w:tc>
        <w:tc>
          <w:tcPr>
            <w:tcW w:w="340" w:type="dxa"/>
            <w:vAlign w:val="bottom"/>
            <w:tcBorders>
              <w:top w:val="single" w:sz="8" w:color="E5FFFF"/>
            </w:tcBorders>
            <w:shd w:val="clear" w:color="auto" w:fill="E5FFFF"/>
          </w:tcPr>
          <w:p>
            <w:pPr>
              <w:spacing w:after="0"/>
              <w:rPr>
                <w:sz w:val="2"/>
                <w:szCs w:val="2"/>
                <w:color w:val="auto"/>
              </w:rPr>
            </w:pPr>
          </w:p>
        </w:tc>
        <w:tc>
          <w:tcPr>
            <w:tcW w:w="20" w:type="dxa"/>
            <w:vAlign w:val="bottom"/>
            <w:tcBorders>
              <w:top w:val="single" w:sz="8" w:color="E5FFFF"/>
            </w:tcBorders>
            <w:shd w:val="clear" w:color="auto" w:fill="E5FFFF"/>
          </w:tcPr>
          <w:p>
            <w:pPr>
              <w:spacing w:after="0"/>
              <w:rPr>
                <w:sz w:val="2"/>
                <w:szCs w:val="2"/>
                <w:color w:val="auto"/>
              </w:rPr>
            </w:pPr>
          </w:p>
        </w:tc>
        <w:tc>
          <w:tcPr>
            <w:tcW w:w="200" w:type="dxa"/>
            <w:vAlign w:val="bottom"/>
            <w:tcBorders>
              <w:top w:val="single" w:sz="8" w:color="E5FFFF"/>
            </w:tcBorders>
            <w:shd w:val="clear" w:color="auto" w:fill="E5FFFF"/>
          </w:tcPr>
          <w:p>
            <w:pPr>
              <w:spacing w:after="0"/>
              <w:rPr>
                <w:sz w:val="2"/>
                <w:szCs w:val="2"/>
                <w:color w:val="auto"/>
              </w:rPr>
            </w:pPr>
          </w:p>
        </w:tc>
        <w:tc>
          <w:tcPr>
            <w:tcW w:w="640" w:type="dxa"/>
            <w:vAlign w:val="bottom"/>
            <w:tcBorders>
              <w:top w:val="single" w:sz="8" w:color="E5FFFF"/>
            </w:tcBorders>
            <w:shd w:val="clear" w:color="auto" w:fill="E5FFFF"/>
          </w:tcPr>
          <w:p>
            <w:pPr>
              <w:spacing w:after="0"/>
              <w:rPr>
                <w:sz w:val="2"/>
                <w:szCs w:val="2"/>
                <w:color w:val="auto"/>
              </w:rPr>
            </w:pPr>
          </w:p>
        </w:tc>
        <w:tc>
          <w:tcPr>
            <w:tcW w:w="500" w:type="dxa"/>
            <w:vAlign w:val="bottom"/>
            <w:tcBorders>
              <w:top w:val="single" w:sz="8" w:color="E5FFFF"/>
            </w:tcBorders>
            <w:shd w:val="clear" w:color="auto" w:fill="E5FFFF"/>
          </w:tcPr>
          <w:p>
            <w:pPr>
              <w:spacing w:after="0"/>
              <w:rPr>
                <w:sz w:val="2"/>
                <w:szCs w:val="2"/>
                <w:color w:val="auto"/>
              </w:rPr>
            </w:pPr>
          </w:p>
        </w:tc>
        <w:tc>
          <w:tcPr>
            <w:tcW w:w="280" w:type="dxa"/>
            <w:vAlign w:val="bottom"/>
            <w:tcBorders>
              <w:top w:val="single" w:sz="8" w:color="E5FFFF"/>
            </w:tcBorders>
            <w:shd w:val="clear" w:color="auto" w:fill="E5FFFF"/>
          </w:tcPr>
          <w:p>
            <w:pPr>
              <w:spacing w:after="0"/>
              <w:rPr>
                <w:sz w:val="2"/>
                <w:szCs w:val="2"/>
                <w:color w:val="auto"/>
              </w:rPr>
            </w:pPr>
          </w:p>
        </w:tc>
        <w:tc>
          <w:tcPr>
            <w:tcW w:w="260" w:type="dxa"/>
            <w:vAlign w:val="bottom"/>
            <w:tcBorders>
              <w:top w:val="single" w:sz="8" w:color="E5FFFF"/>
            </w:tcBorders>
            <w:shd w:val="clear" w:color="auto" w:fill="E5FFFF"/>
          </w:tcPr>
          <w:p>
            <w:pPr>
              <w:spacing w:after="0"/>
              <w:rPr>
                <w:sz w:val="2"/>
                <w:szCs w:val="2"/>
                <w:color w:val="auto"/>
              </w:rPr>
            </w:pPr>
          </w:p>
        </w:tc>
        <w:tc>
          <w:tcPr>
            <w:tcW w:w="860" w:type="dxa"/>
            <w:vAlign w:val="bottom"/>
            <w:tcBorders>
              <w:top w:val="single" w:sz="8" w:color="E5FFFF"/>
            </w:tcBorders>
            <w:shd w:val="clear" w:color="auto" w:fill="E5FFFF"/>
          </w:tcPr>
          <w:p>
            <w:pPr>
              <w:spacing w:after="0"/>
              <w:rPr>
                <w:sz w:val="2"/>
                <w:szCs w:val="2"/>
                <w:color w:val="auto"/>
              </w:rPr>
            </w:pPr>
          </w:p>
        </w:tc>
        <w:tc>
          <w:tcPr>
            <w:tcW w:w="180" w:type="dxa"/>
            <w:vAlign w:val="bottom"/>
            <w:tcBorders>
              <w:top w:val="single" w:sz="8" w:color="E5FFFF"/>
            </w:tcBorders>
            <w:shd w:val="clear" w:color="auto" w:fill="E5FFFF"/>
          </w:tcPr>
          <w:p>
            <w:pPr>
              <w:spacing w:after="0"/>
              <w:rPr>
                <w:sz w:val="2"/>
                <w:szCs w:val="2"/>
                <w:color w:val="auto"/>
              </w:rPr>
            </w:pPr>
          </w:p>
        </w:tc>
        <w:tc>
          <w:tcPr>
            <w:tcW w:w="2720" w:type="dxa"/>
            <w:vAlign w:val="bottom"/>
            <w:tcBorders>
              <w:top w:val="single" w:sz="8" w:color="E5FFFF"/>
            </w:tcBorders>
            <w:shd w:val="clear" w:color="auto" w:fill="E5FFFF"/>
          </w:tcPr>
          <w:p>
            <w:pPr>
              <w:spacing w:after="0"/>
              <w:rPr>
                <w:sz w:val="2"/>
                <w:szCs w:val="2"/>
                <w:color w:val="auto"/>
              </w:rPr>
            </w:pPr>
          </w:p>
        </w:tc>
        <w:tc>
          <w:tcPr>
            <w:tcW w:w="2120" w:type="dxa"/>
            <w:vAlign w:val="bottom"/>
            <w:tcBorders>
              <w:top w:val="single" w:sz="8" w:color="E5FFFF"/>
            </w:tcBorders>
            <w:shd w:val="clear" w:color="auto" w:fill="E5FFFF"/>
          </w:tcPr>
          <w:p>
            <w:pPr>
              <w:spacing w:after="0"/>
              <w:rPr>
                <w:sz w:val="2"/>
                <w:szCs w:val="2"/>
                <w:color w:val="auto"/>
              </w:rPr>
            </w:pPr>
          </w:p>
        </w:tc>
        <w:tc>
          <w:tcPr>
            <w:tcW w:w="540" w:type="dxa"/>
            <w:vAlign w:val="bottom"/>
            <w:tcBorders>
              <w:top w:val="single" w:sz="8" w:color="E5FFFF"/>
            </w:tcBorders>
            <w:shd w:val="clear" w:color="auto" w:fill="E5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0860" w:type="dxa"/>
            <w:vAlign w:val="bottom"/>
            <w:gridSpan w:val="26"/>
          </w:tcPr>
          <w:p>
            <w:pPr>
              <w:spacing w:after="0" w:line="216" w:lineRule="exact"/>
              <w:rPr>
                <w:rFonts w:ascii="Arial" w:cs="Arial" w:eastAsia="Arial" w:hAnsi="Arial"/>
                <w:sz w:val="19"/>
                <w:szCs w:val="19"/>
                <w:b w:val="1"/>
                <w:bCs w:val="1"/>
                <w:color w:val="0000EE"/>
              </w:rPr>
            </w:pPr>
            <w:hyperlink w:anchor="page64">
              <w:r>
                <w:rPr>
                  <w:rFonts w:ascii="Arial" w:cs="Arial" w:eastAsia="Arial" w:hAnsi="Arial"/>
                  <w:sz w:val="19"/>
                  <w:szCs w:val="19"/>
                  <w:b w:val="1"/>
                  <w:bCs w:val="1"/>
                  <w:color w:val="0000EE"/>
                </w:rPr>
                <w:t>Proposal 3: Approval of the Foot Locker Annual Incentive Compensation Plan, as Amended and Restated</w:t>
              </w:r>
            </w:hyperlink>
          </w:p>
        </w:tc>
        <w:tc>
          <w:tcPr>
            <w:tcW w:w="540" w:type="dxa"/>
            <w:vAlign w:val="bottom"/>
          </w:tcPr>
          <w:p>
            <w:pPr>
              <w:jc w:val="right"/>
              <w:ind w:right="4"/>
              <w:spacing w:after="0" w:line="216" w:lineRule="exact"/>
              <w:rPr>
                <w:sz w:val="20"/>
                <w:szCs w:val="20"/>
                <w:color w:val="auto"/>
              </w:rPr>
            </w:pPr>
            <w:r>
              <w:rPr>
                <w:rFonts w:ascii="Arial" w:cs="Arial" w:eastAsia="Arial" w:hAnsi="Arial"/>
                <w:sz w:val="19"/>
                <w:szCs w:val="19"/>
                <w:color w:val="auto"/>
              </w:rPr>
              <w:t>57</w:t>
            </w:r>
          </w:p>
        </w:tc>
      </w:tr>
      <w:tr>
        <w:trPr>
          <w:trHeight w:val="34"/>
        </w:trPr>
        <w:tc>
          <w:tcPr>
            <w:tcW w:w="2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720" w:type="dxa"/>
            <w:vAlign w:val="bottom"/>
            <w:tcBorders>
              <w:top w:val="single" w:sz="8" w:color="0000EE"/>
            </w:tcBorders>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tcBorders>
              <w:bottom w:val="single" w:sz="8" w:color="E5FFFF"/>
            </w:tcBorders>
            <w:shd w:val="clear" w:color="auto" w:fill="E5FFFF"/>
          </w:tcPr>
          <w:p>
            <w:pPr>
              <w:spacing w:after="0"/>
              <w:rPr>
                <w:sz w:val="21"/>
                <w:szCs w:val="21"/>
                <w:color w:val="auto"/>
              </w:rPr>
            </w:pPr>
          </w:p>
        </w:tc>
        <w:tc>
          <w:tcPr>
            <w:tcW w:w="5840" w:type="dxa"/>
            <w:vAlign w:val="bottom"/>
            <w:tcBorders>
              <w:bottom w:val="single" w:sz="8" w:color="0000EE"/>
            </w:tcBorders>
            <w:gridSpan w:val="23"/>
            <w:shd w:val="clear" w:color="auto" w:fill="E5FFFF"/>
          </w:tcPr>
          <w:p>
            <w:pPr>
              <w:spacing w:after="0" w:line="216" w:lineRule="exact"/>
              <w:rPr>
                <w:sz w:val="20"/>
                <w:szCs w:val="20"/>
                <w:color w:val="auto"/>
              </w:rPr>
            </w:pPr>
            <w:r>
              <w:rPr>
                <w:rFonts w:ascii="Arial" w:cs="Arial" w:eastAsia="Arial" w:hAnsi="Arial"/>
                <w:sz w:val="19"/>
                <w:szCs w:val="19"/>
                <w:b w:val="1"/>
                <w:bCs w:val="1"/>
                <w:color w:val="0000EE"/>
                <w:w w:val="90"/>
              </w:rPr>
              <w:t>Deadlines and Procedures for Nominations and Shareholder Proposals</w:t>
            </w:r>
          </w:p>
        </w:tc>
        <w:tc>
          <w:tcPr>
            <w:tcW w:w="5020" w:type="dxa"/>
            <w:vAlign w:val="bottom"/>
            <w:tcBorders>
              <w:bottom w:val="single" w:sz="8" w:color="E5FFFF"/>
            </w:tcBorders>
            <w:gridSpan w:val="3"/>
            <w:shd w:val="clear" w:color="auto" w:fill="E5FFFF"/>
          </w:tcPr>
          <w:p>
            <w:pPr>
              <w:spacing w:after="0"/>
              <w:rPr>
                <w:sz w:val="21"/>
                <w:szCs w:val="21"/>
                <w:color w:val="auto"/>
              </w:rPr>
            </w:pPr>
          </w:p>
        </w:tc>
        <w:tc>
          <w:tcPr>
            <w:tcW w:w="540" w:type="dxa"/>
            <w:vAlign w:val="bottom"/>
            <w:tcBorders>
              <w:bottom w:val="single" w:sz="8" w:color="E5FFFF"/>
            </w:tcBorders>
            <w:shd w:val="clear" w:color="auto" w:fill="E5FFFF"/>
          </w:tcPr>
          <w:p>
            <w:pPr>
              <w:jc w:val="right"/>
              <w:ind w:right="4"/>
              <w:spacing w:after="0" w:line="216" w:lineRule="exact"/>
              <w:rPr>
                <w:sz w:val="20"/>
                <w:szCs w:val="20"/>
                <w:color w:val="auto"/>
              </w:rPr>
            </w:pPr>
            <w:r>
              <w:rPr>
                <w:rFonts w:ascii="Arial" w:cs="Arial" w:eastAsia="Arial" w:hAnsi="Arial"/>
                <w:sz w:val="19"/>
                <w:szCs w:val="19"/>
                <w:color w:val="auto"/>
              </w:rPr>
              <w:t>59</w:t>
            </w:r>
          </w:p>
        </w:tc>
      </w:tr>
      <w:tr>
        <w:trPr>
          <w:trHeight w:val="216"/>
        </w:trPr>
        <w:tc>
          <w:tcPr>
            <w:tcW w:w="20" w:type="dxa"/>
            <w:vAlign w:val="bottom"/>
          </w:tcPr>
          <w:p>
            <w:pPr>
              <w:spacing w:after="0"/>
              <w:rPr>
                <w:sz w:val="18"/>
                <w:szCs w:val="18"/>
                <w:color w:val="auto"/>
              </w:rPr>
            </w:pPr>
          </w:p>
        </w:tc>
        <w:tc>
          <w:tcPr>
            <w:tcW w:w="10860" w:type="dxa"/>
            <w:vAlign w:val="bottom"/>
            <w:gridSpan w:val="26"/>
          </w:tcPr>
          <w:p>
            <w:pPr>
              <w:spacing w:after="0" w:line="216" w:lineRule="exact"/>
              <w:rPr>
                <w:sz w:val="20"/>
                <w:szCs w:val="20"/>
                <w:color w:val="auto"/>
              </w:rPr>
            </w:pPr>
            <w:r>
              <w:rPr>
                <w:rFonts w:ascii="Arial" w:cs="Arial" w:eastAsia="Arial" w:hAnsi="Arial"/>
                <w:sz w:val="19"/>
                <w:szCs w:val="19"/>
                <w:b w:val="1"/>
                <w:bCs w:val="1"/>
                <w:color w:val="0000EE"/>
              </w:rPr>
              <w:t>Location of the 2008 Annual Meeting of Shareholders</w:t>
            </w:r>
          </w:p>
        </w:tc>
        <w:tc>
          <w:tcPr>
            <w:tcW w:w="540" w:type="dxa"/>
            <w:vAlign w:val="bottom"/>
          </w:tcPr>
          <w:p>
            <w:pPr>
              <w:jc w:val="right"/>
              <w:ind w:right="4"/>
              <w:spacing w:after="0" w:line="216" w:lineRule="exact"/>
              <w:rPr>
                <w:sz w:val="20"/>
                <w:szCs w:val="20"/>
                <w:color w:val="auto"/>
              </w:rPr>
            </w:pPr>
            <w:r>
              <w:rPr>
                <w:rFonts w:ascii="Arial" w:cs="Arial" w:eastAsia="Arial" w:hAnsi="Arial"/>
                <w:sz w:val="19"/>
                <w:szCs w:val="19"/>
                <w:color w:val="auto"/>
              </w:rPr>
              <w:t>60</w:t>
            </w:r>
          </w:p>
        </w:tc>
      </w:tr>
      <w:tr>
        <w:trPr>
          <w:trHeight w:val="34"/>
        </w:trPr>
        <w:tc>
          <w:tcPr>
            <w:tcW w:w="20" w:type="dxa"/>
            <w:vAlign w:val="bottom"/>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shd w:val="clear" w:color="auto" w:fill="E5FFFF"/>
          </w:tcPr>
          <w:p>
            <w:pPr>
              <w:spacing w:after="0"/>
              <w:rPr>
                <w:sz w:val="21"/>
                <w:szCs w:val="21"/>
                <w:color w:val="auto"/>
              </w:rPr>
            </w:pPr>
          </w:p>
        </w:tc>
        <w:tc>
          <w:tcPr>
            <w:tcW w:w="10860" w:type="dxa"/>
            <w:vAlign w:val="bottom"/>
            <w:gridSpan w:val="26"/>
            <w:shd w:val="clear" w:color="auto" w:fill="E5FFFF"/>
          </w:tcPr>
          <w:p>
            <w:pPr>
              <w:spacing w:after="0" w:line="216" w:lineRule="exact"/>
              <w:rPr>
                <w:sz w:val="20"/>
                <w:szCs w:val="20"/>
                <w:color w:val="auto"/>
              </w:rPr>
            </w:pPr>
            <w:r>
              <w:rPr>
                <w:rFonts w:ascii="Arial" w:cs="Arial" w:eastAsia="Arial" w:hAnsi="Arial"/>
                <w:sz w:val="19"/>
                <w:szCs w:val="19"/>
                <w:b w:val="1"/>
                <w:bCs w:val="1"/>
                <w:color w:val="0000EE"/>
              </w:rPr>
              <w:t>Appendix A</w:t>
            </w:r>
          </w:p>
        </w:tc>
        <w:tc>
          <w:tcPr>
            <w:tcW w:w="540" w:type="dxa"/>
            <w:vAlign w:val="bottom"/>
            <w:shd w:val="clear" w:color="auto" w:fill="E5FFFF"/>
          </w:tcPr>
          <w:p>
            <w:pPr>
              <w:jc w:val="right"/>
              <w:ind w:right="4"/>
              <w:spacing w:after="0" w:line="216" w:lineRule="exact"/>
              <w:rPr>
                <w:sz w:val="20"/>
                <w:szCs w:val="20"/>
                <w:color w:val="auto"/>
              </w:rPr>
            </w:pPr>
            <w:r>
              <w:rPr>
                <w:rFonts w:ascii="Arial" w:cs="Arial" w:eastAsia="Arial" w:hAnsi="Arial"/>
                <w:sz w:val="19"/>
                <w:szCs w:val="19"/>
                <w:color w:val="auto"/>
              </w:rPr>
              <w:t>A-1</w:t>
            </w:r>
          </w:p>
        </w:tc>
      </w:tr>
      <w:tr>
        <w:trPr>
          <w:trHeight w:val="226"/>
        </w:trPr>
        <w:tc>
          <w:tcPr>
            <w:tcW w:w="20" w:type="dxa"/>
            <w:vAlign w:val="bottom"/>
            <w:tcBorders>
              <w:top w:val="single" w:sz="8" w:color="E5FFFF"/>
              <w:bottom w:val="single" w:sz="8" w:color="auto"/>
            </w:tcBorders>
          </w:tcPr>
          <w:p>
            <w:pPr>
              <w:spacing w:after="0"/>
              <w:rPr>
                <w:sz w:val="19"/>
                <w:szCs w:val="19"/>
                <w:color w:val="auto"/>
              </w:rPr>
            </w:pPr>
          </w:p>
        </w:tc>
        <w:tc>
          <w:tcPr>
            <w:tcW w:w="360" w:type="dxa"/>
            <w:vAlign w:val="bottom"/>
            <w:tcBorders>
              <w:top w:val="single" w:sz="8" w:color="0000EE"/>
              <w:bottom w:val="single" w:sz="8" w:color="auto"/>
            </w:tcBorders>
          </w:tcPr>
          <w:p>
            <w:pPr>
              <w:spacing w:after="0"/>
              <w:rPr>
                <w:sz w:val="19"/>
                <w:szCs w:val="19"/>
                <w:color w:val="auto"/>
              </w:rPr>
            </w:pPr>
          </w:p>
        </w:tc>
        <w:tc>
          <w:tcPr>
            <w:tcW w:w="360" w:type="dxa"/>
            <w:vAlign w:val="bottom"/>
            <w:tcBorders>
              <w:top w:val="single" w:sz="8" w:color="0000EE"/>
              <w:bottom w:val="single" w:sz="8" w:color="auto"/>
            </w:tcBorders>
          </w:tcPr>
          <w:p>
            <w:pPr>
              <w:spacing w:after="0"/>
              <w:rPr>
                <w:sz w:val="19"/>
                <w:szCs w:val="19"/>
                <w:color w:val="auto"/>
              </w:rPr>
            </w:pPr>
          </w:p>
        </w:tc>
        <w:tc>
          <w:tcPr>
            <w:tcW w:w="280" w:type="dxa"/>
            <w:vAlign w:val="bottom"/>
            <w:tcBorders>
              <w:top w:val="single" w:sz="8" w:color="0000EE"/>
              <w:bottom w:val="single" w:sz="8" w:color="auto"/>
            </w:tcBorders>
          </w:tcPr>
          <w:p>
            <w:pPr>
              <w:spacing w:after="0"/>
              <w:rPr>
                <w:sz w:val="19"/>
                <w:szCs w:val="19"/>
                <w:color w:val="auto"/>
              </w:rPr>
            </w:pPr>
          </w:p>
        </w:tc>
        <w:tc>
          <w:tcPr>
            <w:tcW w:w="360" w:type="dxa"/>
            <w:vAlign w:val="bottom"/>
            <w:tcBorders>
              <w:top w:val="single" w:sz="8" w:color="E5FFFF"/>
              <w:bottom w:val="single" w:sz="8" w:color="auto"/>
            </w:tcBorders>
          </w:tcPr>
          <w:p>
            <w:pPr>
              <w:spacing w:after="0"/>
              <w:rPr>
                <w:sz w:val="19"/>
                <w:szCs w:val="19"/>
                <w:color w:val="auto"/>
              </w:rPr>
            </w:pPr>
          </w:p>
        </w:tc>
        <w:tc>
          <w:tcPr>
            <w:tcW w:w="40" w:type="dxa"/>
            <w:vAlign w:val="bottom"/>
            <w:tcBorders>
              <w:top w:val="single" w:sz="8" w:color="E5FFFF"/>
              <w:bottom w:val="single" w:sz="8" w:color="auto"/>
            </w:tcBorders>
          </w:tcPr>
          <w:p>
            <w:pPr>
              <w:spacing w:after="0"/>
              <w:rPr>
                <w:sz w:val="19"/>
                <w:szCs w:val="19"/>
                <w:color w:val="auto"/>
              </w:rPr>
            </w:pPr>
          </w:p>
        </w:tc>
        <w:tc>
          <w:tcPr>
            <w:tcW w:w="80" w:type="dxa"/>
            <w:vAlign w:val="bottom"/>
            <w:tcBorders>
              <w:top w:val="single" w:sz="8" w:color="E5FFFF"/>
              <w:bottom w:val="single" w:sz="8" w:color="auto"/>
            </w:tcBorders>
          </w:tcPr>
          <w:p>
            <w:pPr>
              <w:spacing w:after="0"/>
              <w:rPr>
                <w:sz w:val="19"/>
                <w:szCs w:val="19"/>
                <w:color w:val="auto"/>
              </w:rPr>
            </w:pPr>
          </w:p>
        </w:tc>
        <w:tc>
          <w:tcPr>
            <w:tcW w:w="160" w:type="dxa"/>
            <w:vAlign w:val="bottom"/>
            <w:tcBorders>
              <w:top w:val="single" w:sz="8" w:color="E5FFFF"/>
              <w:bottom w:val="single" w:sz="8" w:color="auto"/>
            </w:tcBorders>
          </w:tcPr>
          <w:p>
            <w:pPr>
              <w:spacing w:after="0"/>
              <w:rPr>
                <w:sz w:val="19"/>
                <w:szCs w:val="19"/>
                <w:color w:val="auto"/>
              </w:rPr>
            </w:pPr>
          </w:p>
        </w:tc>
        <w:tc>
          <w:tcPr>
            <w:tcW w:w="20" w:type="dxa"/>
            <w:vAlign w:val="bottom"/>
            <w:tcBorders>
              <w:top w:val="single" w:sz="8" w:color="E5FFFF"/>
              <w:bottom w:val="single" w:sz="8" w:color="auto"/>
            </w:tcBorders>
          </w:tcPr>
          <w:p>
            <w:pPr>
              <w:spacing w:after="0"/>
              <w:rPr>
                <w:sz w:val="19"/>
                <w:szCs w:val="19"/>
                <w:color w:val="auto"/>
              </w:rPr>
            </w:pPr>
          </w:p>
        </w:tc>
        <w:tc>
          <w:tcPr>
            <w:tcW w:w="20" w:type="dxa"/>
            <w:vAlign w:val="bottom"/>
            <w:tcBorders>
              <w:top w:val="single" w:sz="8" w:color="E5FFFF"/>
              <w:bottom w:val="single" w:sz="8" w:color="auto"/>
            </w:tcBorders>
          </w:tcPr>
          <w:p>
            <w:pPr>
              <w:spacing w:after="0"/>
              <w:rPr>
                <w:sz w:val="19"/>
                <w:szCs w:val="19"/>
                <w:color w:val="auto"/>
              </w:rPr>
            </w:pPr>
          </w:p>
        </w:tc>
        <w:tc>
          <w:tcPr>
            <w:tcW w:w="500" w:type="dxa"/>
            <w:vAlign w:val="bottom"/>
            <w:tcBorders>
              <w:top w:val="single" w:sz="8" w:color="E5FFFF"/>
              <w:bottom w:val="single" w:sz="8" w:color="auto"/>
            </w:tcBorders>
          </w:tcPr>
          <w:p>
            <w:pPr>
              <w:spacing w:after="0"/>
              <w:rPr>
                <w:sz w:val="19"/>
                <w:szCs w:val="19"/>
                <w:color w:val="auto"/>
              </w:rPr>
            </w:pPr>
          </w:p>
        </w:tc>
        <w:tc>
          <w:tcPr>
            <w:tcW w:w="100" w:type="dxa"/>
            <w:vAlign w:val="bottom"/>
            <w:tcBorders>
              <w:top w:val="single" w:sz="8" w:color="E5FFFF"/>
              <w:bottom w:val="single" w:sz="8" w:color="auto"/>
            </w:tcBorders>
          </w:tcPr>
          <w:p>
            <w:pPr>
              <w:spacing w:after="0"/>
              <w:rPr>
                <w:sz w:val="19"/>
                <w:szCs w:val="19"/>
                <w:color w:val="auto"/>
              </w:rPr>
            </w:pPr>
          </w:p>
        </w:tc>
        <w:tc>
          <w:tcPr>
            <w:tcW w:w="60" w:type="dxa"/>
            <w:vAlign w:val="bottom"/>
            <w:tcBorders>
              <w:top w:val="single" w:sz="8" w:color="E5FFFF"/>
              <w:bottom w:val="single" w:sz="8" w:color="auto"/>
            </w:tcBorders>
          </w:tcPr>
          <w:p>
            <w:pPr>
              <w:spacing w:after="0"/>
              <w:rPr>
                <w:sz w:val="19"/>
                <w:szCs w:val="19"/>
                <w:color w:val="auto"/>
              </w:rPr>
            </w:pPr>
          </w:p>
        </w:tc>
        <w:tc>
          <w:tcPr>
            <w:tcW w:w="80" w:type="dxa"/>
            <w:vAlign w:val="bottom"/>
            <w:tcBorders>
              <w:top w:val="single" w:sz="8" w:color="E5FFFF"/>
              <w:bottom w:val="single" w:sz="8" w:color="auto"/>
            </w:tcBorders>
          </w:tcPr>
          <w:p>
            <w:pPr>
              <w:spacing w:after="0"/>
              <w:rPr>
                <w:sz w:val="19"/>
                <w:szCs w:val="19"/>
                <w:color w:val="auto"/>
              </w:rPr>
            </w:pPr>
          </w:p>
        </w:tc>
        <w:tc>
          <w:tcPr>
            <w:tcW w:w="280" w:type="dxa"/>
            <w:vAlign w:val="bottom"/>
            <w:tcBorders>
              <w:top w:val="single" w:sz="8" w:color="E5FFFF"/>
              <w:bottom w:val="single" w:sz="8" w:color="auto"/>
            </w:tcBorders>
          </w:tcPr>
          <w:p>
            <w:pPr>
              <w:spacing w:after="0"/>
              <w:rPr>
                <w:sz w:val="19"/>
                <w:szCs w:val="19"/>
                <w:color w:val="auto"/>
              </w:rPr>
            </w:pPr>
          </w:p>
        </w:tc>
        <w:tc>
          <w:tcPr>
            <w:tcW w:w="40" w:type="dxa"/>
            <w:vAlign w:val="bottom"/>
            <w:tcBorders>
              <w:top w:val="single" w:sz="8" w:color="E5FFFF"/>
              <w:bottom w:val="single" w:sz="8" w:color="auto"/>
            </w:tcBorders>
          </w:tcPr>
          <w:p>
            <w:pPr>
              <w:spacing w:after="0"/>
              <w:rPr>
                <w:sz w:val="19"/>
                <w:szCs w:val="19"/>
                <w:color w:val="auto"/>
              </w:rPr>
            </w:pPr>
          </w:p>
        </w:tc>
        <w:tc>
          <w:tcPr>
            <w:tcW w:w="340" w:type="dxa"/>
            <w:vAlign w:val="bottom"/>
            <w:tcBorders>
              <w:top w:val="single" w:sz="8" w:color="E5FFFF"/>
              <w:bottom w:val="single" w:sz="8" w:color="auto"/>
            </w:tcBorders>
          </w:tcPr>
          <w:p>
            <w:pPr>
              <w:spacing w:after="0"/>
              <w:rPr>
                <w:sz w:val="19"/>
                <w:szCs w:val="19"/>
                <w:color w:val="auto"/>
              </w:rPr>
            </w:pPr>
          </w:p>
        </w:tc>
        <w:tc>
          <w:tcPr>
            <w:tcW w:w="20" w:type="dxa"/>
            <w:vAlign w:val="bottom"/>
            <w:tcBorders>
              <w:top w:val="single" w:sz="8" w:color="E5FFFF"/>
              <w:bottom w:val="single" w:sz="8" w:color="auto"/>
            </w:tcBorders>
          </w:tcPr>
          <w:p>
            <w:pPr>
              <w:spacing w:after="0"/>
              <w:rPr>
                <w:sz w:val="19"/>
                <w:szCs w:val="19"/>
                <w:color w:val="auto"/>
              </w:rPr>
            </w:pPr>
          </w:p>
        </w:tc>
        <w:tc>
          <w:tcPr>
            <w:tcW w:w="200" w:type="dxa"/>
            <w:vAlign w:val="bottom"/>
            <w:tcBorders>
              <w:top w:val="single" w:sz="8" w:color="E5FFFF"/>
              <w:bottom w:val="single" w:sz="8" w:color="auto"/>
            </w:tcBorders>
          </w:tcPr>
          <w:p>
            <w:pPr>
              <w:spacing w:after="0"/>
              <w:rPr>
                <w:sz w:val="19"/>
                <w:szCs w:val="19"/>
                <w:color w:val="auto"/>
              </w:rPr>
            </w:pPr>
          </w:p>
        </w:tc>
        <w:tc>
          <w:tcPr>
            <w:tcW w:w="640" w:type="dxa"/>
            <w:vAlign w:val="bottom"/>
            <w:tcBorders>
              <w:top w:val="single" w:sz="8" w:color="E5FFFF"/>
              <w:bottom w:val="single" w:sz="8" w:color="auto"/>
            </w:tcBorders>
          </w:tcPr>
          <w:p>
            <w:pPr>
              <w:spacing w:after="0"/>
              <w:rPr>
                <w:sz w:val="19"/>
                <w:szCs w:val="19"/>
                <w:color w:val="auto"/>
              </w:rPr>
            </w:pPr>
          </w:p>
        </w:tc>
        <w:tc>
          <w:tcPr>
            <w:tcW w:w="500" w:type="dxa"/>
            <w:vAlign w:val="bottom"/>
            <w:tcBorders>
              <w:top w:val="single" w:sz="8" w:color="E5FFFF"/>
              <w:bottom w:val="single" w:sz="8" w:color="auto"/>
            </w:tcBorders>
          </w:tcPr>
          <w:p>
            <w:pPr>
              <w:spacing w:after="0"/>
              <w:rPr>
                <w:sz w:val="19"/>
                <w:szCs w:val="19"/>
                <w:color w:val="auto"/>
              </w:rPr>
            </w:pPr>
          </w:p>
        </w:tc>
        <w:tc>
          <w:tcPr>
            <w:tcW w:w="280" w:type="dxa"/>
            <w:vAlign w:val="bottom"/>
            <w:tcBorders>
              <w:top w:val="single" w:sz="8" w:color="E5FFFF"/>
              <w:bottom w:val="single" w:sz="8" w:color="auto"/>
            </w:tcBorders>
          </w:tcPr>
          <w:p>
            <w:pPr>
              <w:spacing w:after="0"/>
              <w:rPr>
                <w:sz w:val="19"/>
                <w:szCs w:val="19"/>
                <w:color w:val="auto"/>
              </w:rPr>
            </w:pPr>
          </w:p>
        </w:tc>
        <w:tc>
          <w:tcPr>
            <w:tcW w:w="260" w:type="dxa"/>
            <w:vAlign w:val="bottom"/>
            <w:tcBorders>
              <w:top w:val="single" w:sz="8" w:color="E5FFFF"/>
              <w:bottom w:val="single" w:sz="8" w:color="auto"/>
            </w:tcBorders>
          </w:tcPr>
          <w:p>
            <w:pPr>
              <w:spacing w:after="0"/>
              <w:rPr>
                <w:sz w:val="19"/>
                <w:szCs w:val="19"/>
                <w:color w:val="auto"/>
              </w:rPr>
            </w:pPr>
          </w:p>
        </w:tc>
        <w:tc>
          <w:tcPr>
            <w:tcW w:w="860" w:type="dxa"/>
            <w:vAlign w:val="bottom"/>
            <w:tcBorders>
              <w:top w:val="single" w:sz="8" w:color="E5FFFF"/>
              <w:bottom w:val="single" w:sz="8" w:color="auto"/>
            </w:tcBorders>
          </w:tcPr>
          <w:p>
            <w:pPr>
              <w:spacing w:after="0"/>
              <w:rPr>
                <w:sz w:val="19"/>
                <w:szCs w:val="19"/>
                <w:color w:val="auto"/>
              </w:rPr>
            </w:pPr>
          </w:p>
        </w:tc>
        <w:tc>
          <w:tcPr>
            <w:tcW w:w="180" w:type="dxa"/>
            <w:vAlign w:val="bottom"/>
            <w:tcBorders>
              <w:top w:val="single" w:sz="8" w:color="E5FFFF"/>
              <w:bottom w:val="single" w:sz="8" w:color="auto"/>
            </w:tcBorders>
          </w:tcPr>
          <w:p>
            <w:pPr>
              <w:spacing w:after="0"/>
              <w:rPr>
                <w:sz w:val="19"/>
                <w:szCs w:val="19"/>
                <w:color w:val="auto"/>
              </w:rPr>
            </w:pPr>
          </w:p>
        </w:tc>
        <w:tc>
          <w:tcPr>
            <w:tcW w:w="2720" w:type="dxa"/>
            <w:vAlign w:val="bottom"/>
            <w:tcBorders>
              <w:top w:val="single" w:sz="8" w:color="E5FFFF"/>
              <w:bottom w:val="single" w:sz="8" w:color="auto"/>
            </w:tcBorders>
          </w:tcPr>
          <w:p>
            <w:pPr>
              <w:spacing w:after="0"/>
              <w:rPr>
                <w:sz w:val="19"/>
                <w:szCs w:val="19"/>
                <w:color w:val="auto"/>
              </w:rPr>
            </w:pPr>
          </w:p>
        </w:tc>
        <w:tc>
          <w:tcPr>
            <w:tcW w:w="2120" w:type="dxa"/>
            <w:vAlign w:val="bottom"/>
            <w:tcBorders>
              <w:top w:val="single" w:sz="8" w:color="E5FFFF"/>
              <w:bottom w:val="single" w:sz="8" w:color="auto"/>
            </w:tcBorders>
          </w:tcPr>
          <w:p>
            <w:pPr>
              <w:spacing w:after="0"/>
              <w:rPr>
                <w:sz w:val="19"/>
                <w:szCs w:val="19"/>
                <w:color w:val="auto"/>
              </w:rPr>
            </w:pPr>
          </w:p>
        </w:tc>
        <w:tc>
          <w:tcPr>
            <w:tcW w:w="540" w:type="dxa"/>
            <w:vAlign w:val="bottom"/>
            <w:tcBorders>
              <w:top w:val="single" w:sz="8" w:color="E5FFFF"/>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53"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1549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t>112 West 34th Street</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New York, New York 10120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140335</wp:posOffset>
            </wp:positionV>
            <wp:extent cx="153035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154305</wp:posOffset>
            </wp:positionV>
            <wp:extent cx="153035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GENERAL INFORMATION</w:t>
      </w:r>
    </w:p>
    <w:p>
      <w:pPr>
        <w:spacing w:after="0" w:line="125"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We are providing these proxy materials to you for the solicitation of proxies by the Board of Directors of Foot Locker, Inc. for the 2008 Annual Meeting of Shareholders and for any adjournments or postponements of this meeting. We are holding this annual meeting on May 21, 2008 at 9:00 A.M., local time, at our corporate headquarters located at 112 West 34th Street, New York, New York 10120. In this proxy statement we refer to Foot Locker, Inc. as “Foot Locker,” “the Company,” “we,” “our,” or “us.”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Important Notice Regarding the Availability of Proxy Materials for the Shareholder Meeting</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To Be Held on May 21, 2008</w:t>
      </w:r>
    </w:p>
    <w:p>
      <w:pPr>
        <w:spacing w:after="0" w:line="313" w:lineRule="exact"/>
        <w:rPr>
          <w:sz w:val="20"/>
          <w:szCs w:val="20"/>
          <w:color w:val="auto"/>
        </w:rPr>
      </w:pPr>
    </w:p>
    <w:p>
      <w:pPr>
        <w:jc w:val="center"/>
        <w:ind w:left="300" w:right="2100"/>
        <w:spacing w:after="0" w:line="271" w:lineRule="auto"/>
        <w:rPr>
          <w:sz w:val="20"/>
          <w:szCs w:val="20"/>
          <w:color w:val="auto"/>
        </w:rPr>
      </w:pPr>
      <w:r>
        <w:rPr>
          <w:rFonts w:ascii="Arial" w:cs="Arial" w:eastAsia="Arial" w:hAnsi="Arial"/>
          <w:sz w:val="19"/>
          <w:szCs w:val="19"/>
          <w:b w:val="1"/>
          <w:bCs w:val="1"/>
          <w:color w:val="auto"/>
        </w:rPr>
        <w:t>The Company’s Proxy Statement and 2007 Annual Report/Form 10-K are available at http://bnymellon.mobular.net/bnymellon/fl and http://ww3.ics.adp.com/streetlink/FL</w:t>
      </w:r>
    </w:p>
    <w:p>
      <w:pPr>
        <w:spacing w:after="0" w:line="63"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 xml:space="preserve">We are pleased to be using this year a new procedure approved by the Securities and Exchange Commission that allows companies to furnish their proxy materials to shareholders over the Internet instead of mailing full sets of the printed materials. We believe that this procedure will reduce costs, provide greater flexibility to our shareholders, and lessen the environmental impact of our Annual Meeting. On or about April 11, 2008, we started mailing to most of our shareholders in the United States a Notice of Internet Availability of Proxy Materials (the “Foot Locker Notice”). The Foot Locker Notice contains instructions on how to access and read our 2008 Proxy Statement and our 2007 Annual Report to Shareholders on the Internet and to vote online. </w:t>
      </w:r>
      <w:r>
        <w:rPr>
          <w:rFonts w:ascii="Arial" w:cs="Arial" w:eastAsia="Arial" w:hAnsi="Arial"/>
          <w:sz w:val="19"/>
          <w:szCs w:val="19"/>
          <w:b w:val="1"/>
          <w:bCs w:val="1"/>
          <w:color w:val="auto"/>
        </w:rPr>
        <w:t>If you received a Foot Locker Notice by mail, you will not receive paper copies of the proxy</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materials in the mail unless you request them. </w:t>
      </w:r>
      <w:r>
        <w:rPr>
          <w:rFonts w:ascii="Arial" w:cs="Arial" w:eastAsia="Arial" w:hAnsi="Arial"/>
          <w:sz w:val="19"/>
          <w:szCs w:val="19"/>
          <w:color w:val="auto"/>
        </w:rPr>
        <w:t>Instead, the Foot Locker Notice instructs you on how to access and read the Proxy Statement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Annual Report and how you may submit your proxy over the Internet. If you received a Foot Locker Notice by mail and would like to receive a printed copy of the materials, please follow the instructions on the Foot Locker Notice for requesting the materials, and we will promptly mail the materials to you.</w:t>
      </w:r>
    </w:p>
    <w:p>
      <w:pPr>
        <w:spacing w:after="0" w:line="83"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We are mailing to shareholders, or making available to shareholders via the Internet, this Proxy Statement, form of proxy card, and our 2007 Annual Report/Form10-K on or about April 11, 2008.</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QUESTIONS AND ANSWERS ABOUT THIS ANNUAL MEETING AND VOTING</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is included in these proxy materials?</w:t>
      </w:r>
    </w:p>
    <w:p>
      <w:pPr>
        <w:spacing w:after="0" w:line="125"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The proxy materials include our 2008 Proxy Statement and 2007 Annual Report/Form 10-K. If you received printed copies of these materials by mail, these materials also include the proxy card for this annual meeting.</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May I obtain an additional copy of the Form 10-K?</w:t>
      </w:r>
    </w:p>
    <w:p>
      <w:pPr>
        <w:spacing w:after="0" w:line="125"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Our Form 10-K for the 2007 fiscal year ended February 2, 2008 is included with the 2007 Annual Report. You may obtain an additional copy of our 2007 Form 10-K without charge by writing to our Investor Relations Department at Foot Locker, Inc., 112 West 34th Street, New York, New York 10120.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87" w:right="27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 xml:space="preserve">It is also available free of charge through our corporate web site at </w:t>
      </w:r>
      <w:r>
        <w:rPr>
          <w:rFonts w:ascii="Arial" w:cs="Arial" w:eastAsia="Arial" w:hAnsi="Arial"/>
          <w:sz w:val="19"/>
          <w:szCs w:val="19"/>
          <w:i w:val="1"/>
          <w:iCs w:val="1"/>
          <w:u w:val="single" w:color="auto"/>
          <w:color w:val="auto"/>
        </w:rPr>
        <w:t>http://www.footlocker-inc.com/ IR_index.htm</w:t>
      </w:r>
      <w:r>
        <w:rPr>
          <w:rFonts w:ascii="Arial" w:cs="Arial" w:eastAsia="Arial" w:hAnsi="Arial"/>
          <w:sz w:val="19"/>
          <w:szCs w:val="19"/>
          <w:i w:val="1"/>
          <w:iCs w:val="1"/>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constitutes a quorum for the Annual Meeting?</w:t>
      </w:r>
    </w:p>
    <w:p>
      <w:pPr>
        <w:spacing w:after="0" w:line="125" w:lineRule="exact"/>
        <w:rPr>
          <w:sz w:val="20"/>
          <w:szCs w:val="20"/>
          <w:color w:val="auto"/>
        </w:rPr>
      </w:pPr>
    </w:p>
    <w:p>
      <w:pPr>
        <w:jc w:val="both"/>
        <w:ind w:right="160" w:firstLine="357"/>
        <w:spacing w:after="0" w:line="267" w:lineRule="auto"/>
        <w:rPr>
          <w:sz w:val="20"/>
          <w:szCs w:val="20"/>
          <w:color w:val="auto"/>
        </w:rPr>
      </w:pPr>
      <w:r>
        <w:rPr>
          <w:rFonts w:ascii="Arial" w:cs="Arial" w:eastAsia="Arial" w:hAnsi="Arial"/>
          <w:sz w:val="19"/>
          <w:szCs w:val="19"/>
          <w:color w:val="auto"/>
        </w:rPr>
        <w:t>We will have a quorum and will be able to conduct the business of the Annual Meeting if the holders of a majority of the shares outstanding are present at the meeting, either in person or by proxy. We will count abstentions and broker non-votes, if any, as present and entitled to vote in determining whether we have a quorum.</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is the record date for this meeting?</w:t>
      </w:r>
    </w:p>
    <w:p>
      <w:pPr>
        <w:spacing w:after="0" w:line="112" w:lineRule="exact"/>
        <w:rPr>
          <w:sz w:val="20"/>
          <w:szCs w:val="20"/>
          <w:color w:val="auto"/>
        </w:rPr>
      </w:pPr>
    </w:p>
    <w:p>
      <w:pPr>
        <w:jc w:val="both"/>
        <w:ind w:right="160" w:firstLine="357"/>
        <w:spacing w:after="0" w:line="283" w:lineRule="auto"/>
        <w:rPr>
          <w:sz w:val="20"/>
          <w:szCs w:val="20"/>
          <w:color w:val="auto"/>
        </w:rPr>
      </w:pPr>
      <w:r>
        <w:rPr>
          <w:rFonts w:ascii="Arial" w:cs="Arial" w:eastAsia="Arial" w:hAnsi="Arial"/>
          <w:sz w:val="19"/>
          <w:szCs w:val="19"/>
          <w:color w:val="auto"/>
        </w:rPr>
        <w:t>The record date for this meeting is March 28, 2008. If you were a Foot Locker shareholder on this date, you are entitled to vote on the items of business described in this proxy statement.</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Do I need a ticket to attend the Annual Meeting?</w:t>
      </w:r>
    </w:p>
    <w:p>
      <w:pPr>
        <w:spacing w:after="0" w:line="125" w:lineRule="exact"/>
        <w:rPr>
          <w:sz w:val="20"/>
          <w:szCs w:val="20"/>
          <w:color w:val="auto"/>
        </w:rPr>
      </w:pPr>
    </w:p>
    <w:p>
      <w:pPr>
        <w:jc w:val="both"/>
        <w:ind w:firstLine="357"/>
        <w:spacing w:after="0" w:line="262" w:lineRule="auto"/>
        <w:rPr>
          <w:sz w:val="20"/>
          <w:szCs w:val="20"/>
          <w:color w:val="auto"/>
        </w:rPr>
      </w:pPr>
      <w:r>
        <w:rPr>
          <w:rFonts w:ascii="Arial" w:cs="Arial" w:eastAsia="Arial" w:hAnsi="Arial"/>
          <w:sz w:val="19"/>
          <w:szCs w:val="19"/>
          <w:color w:val="auto"/>
        </w:rPr>
        <w:t>You will need an admission ticket to attend the Annual Meeting. Attendance at the meeting will be limited to shareholders on March 28, 2008 (or their authorized representatives) having an admission ticket or proof of their share ownership, and guests of the Company. If you plan to attend the meeting, please indicate this when you are voting by telephone or Internet or check the box on your proxy card, and we will mail an admission ticket to you.</w:t>
      </w:r>
    </w:p>
    <w:p>
      <w:pPr>
        <w:spacing w:after="0" w:line="72"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If your shares are held in the name of a bank, broker, or other holder of record and you plan to attend the meeting, you can obtain an admission ticket in advance by providing proof of your ownership, such as a bank or brokerage account statement, to the Corporate Secretary at Foot Locker, Inc., 112 West 34th Street, New York, New York 10120. If you do not have an admission ticket, you must show proof of your ownership of the Company’s Common Stock at the registration table at the door.</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are shareholders voting on at this meeting?</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You are being asked to vote on the following items:</w:t>
      </w:r>
    </w:p>
    <w:p>
      <w:pPr>
        <w:spacing w:after="0" w:line="73" w:lineRule="exact"/>
        <w:rPr>
          <w:sz w:val="20"/>
          <w:szCs w:val="20"/>
          <w:color w:val="auto"/>
        </w:rPr>
      </w:pP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1:</w:t>
      </w:r>
      <w:r>
        <w:rPr>
          <w:rFonts w:ascii="Arial" w:cs="Arial" w:eastAsia="Arial" w:hAnsi="Arial"/>
          <w:sz w:val="18"/>
          <w:szCs w:val="18"/>
          <w:color w:val="auto"/>
        </w:rPr>
        <w:t>Election of two directors in Class II;</w:t>
      </w:r>
    </w:p>
    <w:p>
      <w:pPr>
        <w:spacing w:after="0" w:line="51" w:lineRule="exact"/>
        <w:rPr>
          <w:rFonts w:ascii="Arial" w:cs="Arial" w:eastAsia="Arial" w:hAnsi="Arial"/>
          <w:sz w:val="19"/>
          <w:szCs w:val="19"/>
          <w:color w:val="auto"/>
        </w:rPr>
      </w:pP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2:</w:t>
      </w:r>
      <w:r>
        <w:rPr>
          <w:rFonts w:ascii="Arial" w:cs="Arial" w:eastAsia="Arial" w:hAnsi="Arial"/>
          <w:sz w:val="17"/>
          <w:szCs w:val="17"/>
          <w:color w:val="auto"/>
        </w:rPr>
        <w:t>Ratification of the appointment of KPMG LLP as our independent registered public accountants for 2008; and</w:t>
      </w:r>
    </w:p>
    <w:p>
      <w:pPr>
        <w:spacing w:after="0" w:line="51" w:lineRule="exact"/>
        <w:rPr>
          <w:rFonts w:ascii="Arial" w:cs="Arial" w:eastAsia="Arial" w:hAnsi="Arial"/>
          <w:sz w:val="19"/>
          <w:szCs w:val="19"/>
          <w:color w:val="auto"/>
        </w:rPr>
      </w:pPr>
    </w:p>
    <w:p>
      <w:pPr>
        <w:ind w:left="1120" w:hanging="597"/>
        <w:spacing w:after="0"/>
        <w:tabs>
          <w:tab w:leader="none" w:pos="11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Proposal 3:</w:t>
      </w:r>
      <w:r>
        <w:rPr>
          <w:rFonts w:ascii="Arial" w:cs="Arial" w:eastAsia="Arial" w:hAnsi="Arial"/>
          <w:sz w:val="17"/>
          <w:szCs w:val="17"/>
          <w:color w:val="auto"/>
        </w:rPr>
        <w:t>Approval of the Foot Locker Annual Incentive Compensation Plan, as Amended and Restated.</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does the Board of Directors recommend that I vote on the proposals?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Board recommends that you vote “FOR” each of the three proposals being voted on at the meeting.</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Could other matters be voted on at the Annual Meeting?</w:t>
      </w:r>
    </w:p>
    <w:p>
      <w:pPr>
        <w:spacing w:after="0" w:line="125" w:lineRule="exact"/>
        <w:rPr>
          <w:sz w:val="20"/>
          <w:szCs w:val="20"/>
          <w:color w:val="auto"/>
        </w:rPr>
      </w:pPr>
    </w:p>
    <w:p>
      <w:pPr>
        <w:ind w:right="100" w:firstLine="357"/>
        <w:spacing w:after="0" w:line="344" w:lineRule="auto"/>
        <w:rPr>
          <w:sz w:val="20"/>
          <w:szCs w:val="20"/>
          <w:color w:val="auto"/>
        </w:rPr>
      </w:pPr>
      <w:r>
        <w:rPr>
          <w:rFonts w:ascii="Arial" w:cs="Arial" w:eastAsia="Arial" w:hAnsi="Arial"/>
          <w:sz w:val="17"/>
          <w:szCs w:val="17"/>
          <w:color w:val="auto"/>
        </w:rPr>
        <w:t>We do not know of any other business that will be presented at the 2008 annual meeting. If any other matters are properly brought before the meeting for consideration, then the persons named as proxies will have the discretion to vote on those matters for you using their best judgment.</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Who may vote at the Annual Meeting?</w:t>
      </w:r>
    </w:p>
    <w:p>
      <w:pPr>
        <w:spacing w:after="0" w:line="125"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The only voting securities of Foot Locker are our shares of Common Stock. Only shareholders of record on the books of the Company on March 28, 2008 are entitled to vote at the annual meeting and any adjournments or postponements. Each share is entitled to one vote. There were 154,774,002 shares of Common Stock outstanding on March 28, 2008.</w:t>
      </w:r>
    </w:p>
    <w:p>
      <w:pPr>
        <w:spacing w:after="0" w:line="6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What are the voting requirements to elect directors and to approve the other proposals?</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Directors must be elected by a plurality of the votes cast by shareholders. (Please see our policy described on Page 7 regarding resignations by directors who do not receive more “for” votes than “withheld” votes.) The other proposals being voted on at this meeting require the favorable vote of a majority of the votes cast by shareholders to be approved.</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will the votes be counted?</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Votes will be counted and certified by representatives of our transfer agent, BNY Mellon Shareowner Services, as inspectors of election. The inspectors of election are independent and are not employees of Foot Locker.</w:t>
      </w:r>
    </w:p>
    <w:p>
      <w:pPr>
        <w:spacing w:after="0" w:line="5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We do not count abstentions and broker non-votes, if any, in determining the votes cast for any proposal. Votes withheld for the election of one or more of the nominees for director will not be counted as votes cast for them.</w:t>
      </w:r>
    </w:p>
    <w:p>
      <w:pPr>
        <w:spacing w:after="0" w:line="38"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Broker non-votes occur when brokers or other entities holding shares for an owner in street name do not receive voting instructions from the owner on non-routine matters and, consequently, have no discretion to vote on those matters. If a proposal is routine under the rules of The New York Stock Exchange, then the brokers or other entities may vote the shares held by them even though they have not received instructions from the owner.</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Certificate of Incorporation and By-laws do not contain any provisions on the effect of abstentions or broker non-votes.</w:t>
      </w: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Will my vote be confidential?</w:t>
      </w:r>
    </w:p>
    <w:p>
      <w:pPr>
        <w:spacing w:after="0" w:line="125" w:lineRule="exact"/>
        <w:rPr>
          <w:sz w:val="20"/>
          <w:szCs w:val="20"/>
          <w:color w:val="auto"/>
        </w:rPr>
      </w:pPr>
    </w:p>
    <w:p>
      <w:pPr>
        <w:ind w:right="800" w:firstLine="357"/>
        <w:spacing w:after="0" w:line="283" w:lineRule="auto"/>
        <w:rPr>
          <w:sz w:val="20"/>
          <w:szCs w:val="20"/>
          <w:color w:val="auto"/>
        </w:rPr>
      </w:pPr>
      <w:r>
        <w:rPr>
          <w:rFonts w:ascii="Arial" w:cs="Arial" w:eastAsia="Arial" w:hAnsi="Arial"/>
          <w:sz w:val="19"/>
          <w:szCs w:val="19"/>
          <w:color w:val="auto"/>
        </w:rPr>
        <w:t>We maintain the confidentiality of our shareholders’ votes. All proxy cards, electronic voting, voting instructions, ballots and voting tabulations identifying shareholders are kept confidential from the Company, except:</w:t>
      </w:r>
    </w:p>
    <w:p>
      <w:pPr>
        <w:spacing w:after="0" w:line="52" w:lineRule="exact"/>
        <w:rPr>
          <w:sz w:val="20"/>
          <w:szCs w:val="20"/>
          <w:color w:val="auto"/>
        </w:rPr>
      </w:pPr>
    </w:p>
    <w:p>
      <w:pPr>
        <w:ind w:left="480" w:hanging="115"/>
        <w:spacing w:after="0"/>
        <w:tabs>
          <w:tab w:leader="none" w:pos="480" w:val="left"/>
        </w:tabs>
        <w:numPr>
          <w:ilvl w:val="0"/>
          <w:numId w:val="5"/>
        </w:numPr>
        <w:rPr>
          <w:rFonts w:ascii="Arial" w:cs="Arial" w:eastAsia="Arial" w:hAnsi="Arial"/>
          <w:sz w:val="19"/>
          <w:szCs w:val="19"/>
          <w:color w:val="auto"/>
        </w:rPr>
      </w:pPr>
      <w:r>
        <w:rPr>
          <w:rFonts w:ascii="Arial" w:cs="Arial" w:eastAsia="Arial" w:hAnsi="Arial"/>
          <w:sz w:val="19"/>
          <w:szCs w:val="19"/>
          <w:color w:val="auto"/>
        </w:rPr>
        <w:t>as necessary to meet any applicable legal requirements,</w:t>
      </w:r>
    </w:p>
    <w:p>
      <w:pPr>
        <w:spacing w:after="0" w:line="119" w:lineRule="exact"/>
        <w:rPr>
          <w:rFonts w:ascii="Arial" w:cs="Arial" w:eastAsia="Arial" w:hAnsi="Arial"/>
          <w:sz w:val="19"/>
          <w:szCs w:val="19"/>
          <w:color w:val="auto"/>
        </w:rPr>
      </w:pPr>
    </w:p>
    <w:p>
      <w:pPr>
        <w:ind w:left="480" w:hanging="115"/>
        <w:spacing w:after="0"/>
        <w:tabs>
          <w:tab w:leader="none" w:pos="480" w:val="left"/>
        </w:tabs>
        <w:numPr>
          <w:ilvl w:val="0"/>
          <w:numId w:val="5"/>
        </w:numPr>
        <w:rPr>
          <w:rFonts w:ascii="Arial" w:cs="Arial" w:eastAsia="Arial" w:hAnsi="Arial"/>
          <w:sz w:val="19"/>
          <w:szCs w:val="19"/>
          <w:color w:val="auto"/>
        </w:rPr>
      </w:pPr>
      <w:r>
        <w:rPr>
          <w:rFonts w:ascii="Arial" w:cs="Arial" w:eastAsia="Arial" w:hAnsi="Arial"/>
          <w:sz w:val="19"/>
          <w:szCs w:val="19"/>
          <w:color w:val="auto"/>
        </w:rPr>
        <w:t>when a shareholder requests disclosure or writes a comment on a proxy card,</w:t>
      </w:r>
    </w:p>
    <w:p>
      <w:pPr>
        <w:spacing w:after="0" w:line="119" w:lineRule="exact"/>
        <w:rPr>
          <w:rFonts w:ascii="Arial" w:cs="Arial" w:eastAsia="Arial" w:hAnsi="Arial"/>
          <w:sz w:val="19"/>
          <w:szCs w:val="19"/>
          <w:color w:val="auto"/>
        </w:rPr>
      </w:pPr>
    </w:p>
    <w:p>
      <w:pPr>
        <w:ind w:left="480" w:hanging="115"/>
        <w:spacing w:after="0"/>
        <w:tabs>
          <w:tab w:leader="none" w:pos="480"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a contested proxy solicitation, and</w:t>
      </w:r>
    </w:p>
    <w:p>
      <w:pPr>
        <w:spacing w:after="0" w:line="119" w:lineRule="exact"/>
        <w:rPr>
          <w:rFonts w:ascii="Arial" w:cs="Arial" w:eastAsia="Arial" w:hAnsi="Arial"/>
          <w:sz w:val="19"/>
          <w:szCs w:val="19"/>
          <w:color w:val="auto"/>
        </w:rPr>
      </w:pPr>
    </w:p>
    <w:p>
      <w:pPr>
        <w:ind w:left="480" w:hanging="115"/>
        <w:spacing w:after="0"/>
        <w:tabs>
          <w:tab w:leader="none" w:pos="480"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allow independent inspectors of election to tabulate and certify the vote.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do I vote my shares?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You may vote using any of the following methods:</w:t>
      </w:r>
    </w:p>
    <w:p>
      <w:pPr>
        <w:spacing w:after="0" w:line="106" w:lineRule="exact"/>
        <w:rPr>
          <w:sz w:val="20"/>
          <w:szCs w:val="20"/>
          <w:color w:val="auto"/>
        </w:rPr>
      </w:pPr>
    </w:p>
    <w:p>
      <w:pPr>
        <w:ind w:left="480" w:hanging="115"/>
        <w:spacing w:after="0"/>
        <w:tabs>
          <w:tab w:leader="none" w:pos="480" w:val="left"/>
        </w:tabs>
        <w:numPr>
          <w:ilvl w:val="0"/>
          <w:numId w:val="6"/>
        </w:numPr>
        <w:rPr>
          <w:rFonts w:ascii="Arial" w:cs="Arial" w:eastAsia="Arial" w:hAnsi="Arial"/>
          <w:sz w:val="19"/>
          <w:szCs w:val="19"/>
          <w:color w:val="auto"/>
        </w:rPr>
      </w:pPr>
      <w:r>
        <w:rPr>
          <w:rFonts w:ascii="Arial" w:cs="Arial" w:eastAsia="Arial" w:hAnsi="Arial"/>
          <w:sz w:val="19"/>
          <w:szCs w:val="19"/>
          <w:b w:val="1"/>
          <w:bCs w:val="1"/>
          <w:i w:val="1"/>
          <w:iCs w:val="1"/>
          <w:color w:val="auto"/>
        </w:rPr>
        <w:t>Telephone</w:t>
      </w:r>
    </w:p>
    <w:p>
      <w:pPr>
        <w:spacing w:after="0" w:line="119" w:lineRule="exact"/>
        <w:rPr>
          <w:sz w:val="20"/>
          <w:szCs w:val="20"/>
          <w:color w:val="auto"/>
        </w:rPr>
      </w:pPr>
    </w:p>
    <w:p>
      <w:pPr>
        <w:ind w:right="40" w:firstLine="357"/>
        <w:spacing w:after="0" w:line="273" w:lineRule="auto"/>
        <w:rPr>
          <w:sz w:val="20"/>
          <w:szCs w:val="20"/>
          <w:color w:val="auto"/>
        </w:rPr>
      </w:pPr>
      <w:r>
        <w:rPr>
          <w:rFonts w:ascii="Arial" w:cs="Arial" w:eastAsia="Arial" w:hAnsi="Arial"/>
          <w:sz w:val="18"/>
          <w:szCs w:val="18"/>
          <w:color w:val="auto"/>
        </w:rPr>
        <w:t xml:space="preserve">If you are located within the United States or Canada, you can vote your shares by telephone by calling the toll-free telephone number printed on your Notice of Internet Availability of Proxy Materials (“Notice”), on your proxy card, or in the instructions that accompany your proxy materials, as applicable, and following the recorded instructions. You will need the control number printed on your Notice, on your proxy card, or in the instructions that accompany your proxy materials, as applicable. Telephone voting is available 24 hours a day and will be accessible until 9:00 A.M. on May 21, 2008. The telephone voting system has easy to follow instructions and allows you to confirm that the system has properly recorded your vote. </w:t>
      </w:r>
      <w:r>
        <w:rPr>
          <w:rFonts w:ascii="Arial" w:cs="Arial" w:eastAsia="Arial" w:hAnsi="Arial"/>
          <w:sz w:val="18"/>
          <w:szCs w:val="18"/>
          <w:b w:val="1"/>
          <w:bCs w:val="1"/>
          <w:color w:val="auto"/>
        </w:rPr>
        <w:t>If you vote by telephone, you do NOT need to return a proxy card or voting instruction form.</w:t>
      </w:r>
      <w:r>
        <w:rPr>
          <w:rFonts w:ascii="Arial" w:cs="Arial" w:eastAsia="Arial" w:hAnsi="Arial"/>
          <w:sz w:val="18"/>
          <w:szCs w:val="18"/>
          <w:color w:val="auto"/>
        </w:rPr>
        <w:t xml:space="preserve"> If you are an owner in street name, please follow the instructions that accompany your proxy materials.</w:t>
      </w:r>
    </w:p>
    <w:p>
      <w:pPr>
        <w:spacing w:after="0" w:line="67" w:lineRule="exact"/>
        <w:rPr>
          <w:sz w:val="20"/>
          <w:szCs w:val="20"/>
          <w:color w:val="auto"/>
        </w:rPr>
      </w:pPr>
    </w:p>
    <w:p>
      <w:pPr>
        <w:ind w:left="480" w:hanging="115"/>
        <w:spacing w:after="0"/>
        <w:tabs>
          <w:tab w:leader="none" w:pos="480" w:val="left"/>
        </w:tabs>
        <w:numPr>
          <w:ilvl w:val="0"/>
          <w:numId w:val="7"/>
        </w:numPr>
        <w:rPr>
          <w:rFonts w:ascii="Arial" w:cs="Arial" w:eastAsia="Arial" w:hAnsi="Arial"/>
          <w:sz w:val="19"/>
          <w:szCs w:val="19"/>
          <w:color w:val="auto"/>
        </w:rPr>
      </w:pPr>
      <w:r>
        <w:rPr>
          <w:rFonts w:ascii="Arial" w:cs="Arial" w:eastAsia="Arial" w:hAnsi="Arial"/>
          <w:sz w:val="19"/>
          <w:szCs w:val="19"/>
          <w:b w:val="1"/>
          <w:bCs w:val="1"/>
          <w:i w:val="1"/>
          <w:iCs w:val="1"/>
          <w:color w:val="auto"/>
        </w:rPr>
        <w:t>Internet</w:t>
      </w:r>
    </w:p>
    <w:p>
      <w:pPr>
        <w:spacing w:after="0" w:line="119"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You can also choose to vote your shares by the Internet. You will need the control number printed on your Notice, on your proxy card, or in the instructions that accompany your proxy materials, as applicable. The web site for Internet voting is listed on your Notice, proxy card, or in the instructions that accompany your proxy materials. Internet voting is available 24 hours a day and will be accessible until 9:00 A.M. on May 21, 2008. As with telephone voting, you will be able to confirm that the system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 xml:space="preserve">has properly recorded your vote. </w:t>
      </w:r>
      <w:r>
        <w:rPr>
          <w:rFonts w:ascii="Arial" w:cs="Arial" w:eastAsia="Arial" w:hAnsi="Arial"/>
          <w:sz w:val="19"/>
          <w:szCs w:val="19"/>
          <w:b w:val="1"/>
          <w:bCs w:val="1"/>
          <w:color w:val="auto"/>
        </w:rPr>
        <w:t>If you vote via the Internet, you do NOT need to return a proxy card or voting instruction form.</w:t>
      </w:r>
    </w:p>
    <w:p>
      <w:pPr>
        <w:spacing w:after="0" w:line="233" w:lineRule="exact"/>
        <w:rPr>
          <w:sz w:val="20"/>
          <w:szCs w:val="20"/>
          <w:color w:val="auto"/>
        </w:rPr>
      </w:pPr>
    </w:p>
    <w:p>
      <w:pPr>
        <w:ind w:left="480" w:hanging="115"/>
        <w:spacing w:after="0"/>
        <w:tabs>
          <w:tab w:leader="none" w:pos="480" w:val="left"/>
        </w:tabs>
        <w:numPr>
          <w:ilvl w:val="0"/>
          <w:numId w:val="8"/>
        </w:numPr>
        <w:rPr>
          <w:rFonts w:ascii="Arial" w:cs="Arial" w:eastAsia="Arial" w:hAnsi="Arial"/>
          <w:sz w:val="19"/>
          <w:szCs w:val="19"/>
          <w:color w:val="auto"/>
        </w:rPr>
      </w:pPr>
      <w:r>
        <w:rPr>
          <w:rFonts w:ascii="Arial" w:cs="Arial" w:eastAsia="Arial" w:hAnsi="Arial"/>
          <w:sz w:val="19"/>
          <w:szCs w:val="19"/>
          <w:b w:val="1"/>
          <w:bCs w:val="1"/>
          <w:i w:val="1"/>
          <w:iCs w:val="1"/>
          <w:color w:val="auto"/>
        </w:rPr>
        <w:t>Mail</w:t>
      </w:r>
    </w:p>
    <w:p>
      <w:pPr>
        <w:spacing w:after="0" w:line="119" w:lineRule="exact"/>
        <w:rPr>
          <w:sz w:val="20"/>
          <w:szCs w:val="20"/>
          <w:color w:val="auto"/>
        </w:rPr>
      </w:pPr>
    </w:p>
    <w:p>
      <w:pPr>
        <w:jc w:val="both"/>
        <w:ind w:right="220" w:firstLine="357"/>
        <w:spacing w:after="0" w:line="267" w:lineRule="auto"/>
        <w:rPr>
          <w:sz w:val="20"/>
          <w:szCs w:val="20"/>
          <w:color w:val="auto"/>
        </w:rPr>
      </w:pPr>
      <w:r>
        <w:rPr>
          <w:rFonts w:ascii="Arial" w:cs="Arial" w:eastAsia="Arial" w:hAnsi="Arial"/>
          <w:sz w:val="19"/>
          <w:szCs w:val="19"/>
          <w:color w:val="auto"/>
        </w:rPr>
        <w:t>If you are a holder of record and received printed copies of the materials by mail, you may choose to vote by mail. Simply mark your proxy card, date and sign it, and return it in the postage-paid envelope that we included with your materials. If you hold your shares through a bank or brokerage account, please complete and mail the voting instruction form in the envelope provided.</w:t>
      </w:r>
    </w:p>
    <w:p>
      <w:pPr>
        <w:spacing w:after="0" w:line="68" w:lineRule="exact"/>
        <w:rPr>
          <w:sz w:val="20"/>
          <w:szCs w:val="20"/>
          <w:color w:val="auto"/>
        </w:rPr>
      </w:pPr>
    </w:p>
    <w:p>
      <w:pPr>
        <w:ind w:left="480" w:hanging="115"/>
        <w:spacing w:after="0"/>
        <w:tabs>
          <w:tab w:leader="none" w:pos="480" w:val="left"/>
        </w:tabs>
        <w:numPr>
          <w:ilvl w:val="0"/>
          <w:numId w:val="9"/>
        </w:numPr>
        <w:rPr>
          <w:rFonts w:ascii="Arial" w:cs="Arial" w:eastAsia="Arial" w:hAnsi="Arial"/>
          <w:sz w:val="19"/>
          <w:szCs w:val="19"/>
          <w:color w:val="auto"/>
        </w:rPr>
      </w:pPr>
      <w:r>
        <w:rPr>
          <w:rFonts w:ascii="Arial" w:cs="Arial" w:eastAsia="Arial" w:hAnsi="Arial"/>
          <w:sz w:val="19"/>
          <w:szCs w:val="19"/>
          <w:b w:val="1"/>
          <w:bCs w:val="1"/>
          <w:i w:val="1"/>
          <w:iCs w:val="1"/>
          <w:color w:val="auto"/>
        </w:rPr>
        <w:t>Ballot at the Annual Meeting</w:t>
      </w:r>
    </w:p>
    <w:p>
      <w:pPr>
        <w:spacing w:after="0" w:line="119" w:lineRule="exact"/>
        <w:rPr>
          <w:sz w:val="20"/>
          <w:szCs w:val="20"/>
          <w:color w:val="auto"/>
        </w:rPr>
      </w:pPr>
    </w:p>
    <w:p>
      <w:pPr>
        <w:ind w:right="180" w:firstLine="357"/>
        <w:spacing w:after="0" w:line="312" w:lineRule="auto"/>
        <w:rPr>
          <w:sz w:val="20"/>
          <w:szCs w:val="20"/>
          <w:color w:val="auto"/>
        </w:rPr>
      </w:pPr>
      <w:r>
        <w:rPr>
          <w:rFonts w:ascii="Arial" w:cs="Arial" w:eastAsia="Arial" w:hAnsi="Arial"/>
          <w:sz w:val="18"/>
          <w:szCs w:val="18"/>
          <w:color w:val="auto"/>
        </w:rPr>
        <w:t>You may also vote by ballot at the Annual Meeting if you decide to attend in person. If your shares are held in the name of a bank, broker or other holder of record, you must obtain a proxy, executed in your favor, from the holder of record to be able to vote at the meeting.</w:t>
      </w:r>
    </w:p>
    <w:p>
      <w:pPr>
        <w:spacing w:after="0" w:line="29"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All shares that have been properly voted and not revoked will be voted at the Annual Meeting. If you sign and return a proxy card but do not give voting instructions, the shares represented by that proxy card will be voted as recommended by the Board of Directors.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 I change my mind after voting my shares?</w:t>
      </w:r>
    </w:p>
    <w:p>
      <w:pPr>
        <w:spacing w:after="0" w:line="125" w:lineRule="exact"/>
        <w:rPr>
          <w:sz w:val="20"/>
          <w:szCs w:val="20"/>
          <w:color w:val="auto"/>
        </w:rPr>
      </w:pPr>
    </w:p>
    <w:p>
      <w:pPr>
        <w:jc w:val="both"/>
        <w:ind w:right="440" w:firstLine="357"/>
        <w:spacing w:after="0" w:line="267" w:lineRule="auto"/>
        <w:rPr>
          <w:sz w:val="20"/>
          <w:szCs w:val="20"/>
          <w:color w:val="auto"/>
        </w:rPr>
      </w:pPr>
      <w:r>
        <w:rPr>
          <w:rFonts w:ascii="Arial" w:cs="Arial" w:eastAsia="Arial" w:hAnsi="Arial"/>
          <w:sz w:val="19"/>
          <w:szCs w:val="19"/>
          <w:color w:val="auto"/>
        </w:rPr>
        <w:t>You may revoke your proxy at any time before it is used by (i) sending a written notice to the Company at its corporate headquarters, (ii) delivering a valid proxy card with a later date, (iii) providing a later dated vote by telephone or Internet, or (iv) voting by ballot at the Annual Meeting.</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Are shares held in employee plans included on the proxy card?</w:t>
      </w:r>
    </w:p>
    <w:p>
      <w:pPr>
        <w:spacing w:after="0" w:line="125" w:lineRule="exact"/>
        <w:rPr>
          <w:sz w:val="20"/>
          <w:szCs w:val="20"/>
          <w:color w:val="auto"/>
        </w:rPr>
      </w:pPr>
    </w:p>
    <w:p>
      <w:pPr>
        <w:ind w:right="100" w:firstLine="357"/>
        <w:spacing w:after="0" w:line="281" w:lineRule="auto"/>
        <w:rPr>
          <w:sz w:val="20"/>
          <w:szCs w:val="20"/>
          <w:color w:val="auto"/>
        </w:rPr>
      </w:pPr>
      <w:r>
        <w:rPr>
          <w:rFonts w:ascii="Arial" w:cs="Arial" w:eastAsia="Arial" w:hAnsi="Arial"/>
          <w:sz w:val="18"/>
          <w:szCs w:val="18"/>
          <w:color w:val="auto"/>
        </w:rPr>
        <w:t>If you hold shares of Foot Locker Common Stock through the Foot Locker 401(k) Plan or the Foot Locker Puerto Rico 1165(e) Plan, you received a proxy card showing the number of shares allocated to your plan account. Your proxy card will serve as a voting instruction card for the trustees of the plans, who will vote the shares. The trustees will vote only those shares for which voting instructions have been given. To allow sufficient time for voting by the trustees of these plans, your voting instructions must be received by May 16, 2008.</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Who pays the cost of this proxy solicitation?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pay for the cost of the solicitation of proxies, including the preparation, printing and mailing of the proxy materials.</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Proxies may be solicited, without additional compensation, by our directors, officers, or employees by mail, telephone, fax, in person, or otherwise. We will request banks, brokers and other custodians, nominees and fiduciaries to deliver proxy material to the beneficial owners of Foot Locker’s Common Stock and obtain their voting instructions, and we will reimburse those firms for their expenses under the rules of the Securities and Exchange Commission and The New York Stock Exchange. In addition, we have retained Innisfree M&amp;A Incorporated to assist us in the solicitation of proxies for a fee of $10,000 plus out-of-pocket expenses.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9"/>
          <w:szCs w:val="19"/>
          <w:b w:val="1"/>
          <w:bCs w:val="1"/>
          <w:color w:val="auto"/>
        </w:rPr>
        <w:t>BENEFICIAL OWNERSHIP OF THE COMPANY’S STOCK</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and Executive Officers</w:t>
      </w:r>
    </w:p>
    <w:p>
      <w:pPr>
        <w:spacing w:after="0" w:line="12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following table shows the number of shares of Common Stock reported to us as beneficially owned by each of our directors and named executive officers as of March 28, 2008. The table also shows beneficial ownership by all directors, named executive officers, and executive officers as a group on that date, including shares of Common Stock that they have a right to acquire within 60 days after March 28, 2008 by the exercise of stock options.</w:t>
      </w:r>
    </w:p>
    <w:p>
      <w:pPr>
        <w:spacing w:after="0" w:line="72"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Matthew D. Serra beneficially owned 1.17 percent of the total number of outstanding shares of Common Stock as of March 28, 2008. No other director, named executive officer, or executive officer beneficially owned one percent or more of the total number of outstanding shares as of that date.</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Each person has sole voting and investment power for the number of shares shown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3957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95732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Amount and Nature of Beneficial Ownership</w:t>
      </w:r>
    </w:p>
    <w:p>
      <w:pPr>
        <w:spacing w:after="0" w:line="66"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7"/>
              </w:rPr>
              <w:t>RSUs and</w:t>
            </w:r>
          </w:p>
        </w:tc>
        <w:tc>
          <w:tcPr>
            <w:tcW w:w="30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Total Shares of</w:t>
            </w:r>
          </w:p>
        </w:tc>
      </w:tr>
      <w:tr>
        <w:trPr>
          <w:trHeight w:val="176"/>
        </w:trPr>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8"/>
              </w:rPr>
              <w:t>Common Stock</w:t>
            </w:r>
          </w:p>
        </w:tc>
        <w:tc>
          <w:tcPr>
            <w:tcW w:w="280" w:type="dxa"/>
            <w:vAlign w:val="bottom"/>
          </w:tcPr>
          <w:p>
            <w:pPr>
              <w:spacing w:after="0"/>
              <w:rPr>
                <w:sz w:val="15"/>
                <w:szCs w:val="15"/>
                <w:color w:val="auto"/>
              </w:rPr>
            </w:pPr>
          </w:p>
        </w:tc>
        <w:tc>
          <w:tcPr>
            <w:tcW w:w="16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Stock Options</w:t>
            </w:r>
          </w:p>
        </w:tc>
        <w:tc>
          <w:tcPr>
            <w:tcW w:w="28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300" w:type="dxa"/>
            <w:vAlign w:val="bottom"/>
          </w:tcPr>
          <w:p>
            <w:pPr>
              <w:spacing w:after="0"/>
              <w:rPr>
                <w:sz w:val="15"/>
                <w:szCs w:val="15"/>
                <w:color w:val="auto"/>
              </w:rPr>
            </w:pPr>
          </w:p>
        </w:tc>
        <w:tc>
          <w:tcPr>
            <w:tcW w:w="1060" w:type="dxa"/>
            <w:vAlign w:val="bottom"/>
          </w:tcPr>
          <w:p>
            <w:pPr>
              <w:jc w:val="center"/>
              <w:ind w:left="281"/>
              <w:spacing w:after="0" w:line="176" w:lineRule="exact"/>
              <w:rPr>
                <w:sz w:val="20"/>
                <w:szCs w:val="20"/>
                <w:color w:val="auto"/>
              </w:rPr>
            </w:pPr>
            <w:r>
              <w:rPr>
                <w:rFonts w:ascii="Arial" w:cs="Arial" w:eastAsia="Arial" w:hAnsi="Arial"/>
                <w:sz w:val="16"/>
                <w:szCs w:val="16"/>
                <w:b w:val="1"/>
                <w:bCs w:val="1"/>
                <w:color w:val="auto"/>
                <w:w w:val="89"/>
              </w:rPr>
              <w:t>Common</w:t>
            </w:r>
          </w:p>
        </w:tc>
        <w:tc>
          <w:tcPr>
            <w:tcW w:w="360" w:type="dxa"/>
            <w:vAlign w:val="bottom"/>
          </w:tcPr>
          <w:p>
            <w:pPr>
              <w:spacing w:after="0"/>
              <w:rPr>
                <w:sz w:val="15"/>
                <w:szCs w:val="15"/>
                <w:color w:val="auto"/>
              </w:rPr>
            </w:pPr>
          </w:p>
        </w:tc>
      </w:tr>
      <w:tr>
        <w:trPr>
          <w:trHeight w:val="176"/>
        </w:trPr>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8"/>
              </w:rPr>
              <w:t>Beneficially Owned</w:t>
            </w:r>
          </w:p>
        </w:tc>
        <w:tc>
          <w:tcPr>
            <w:tcW w:w="280" w:type="dxa"/>
            <w:vAlign w:val="bottom"/>
          </w:tcPr>
          <w:p>
            <w:pPr>
              <w:spacing w:after="0"/>
              <w:rPr>
                <w:sz w:val="15"/>
                <w:szCs w:val="15"/>
                <w:color w:val="auto"/>
              </w:rPr>
            </w:pPr>
          </w:p>
        </w:tc>
        <w:tc>
          <w:tcPr>
            <w:tcW w:w="16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Exercisable Within</w:t>
            </w:r>
          </w:p>
        </w:tc>
        <w:tc>
          <w:tcPr>
            <w:tcW w:w="28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Stock Units</w:t>
            </w:r>
          </w:p>
        </w:tc>
        <w:tc>
          <w:tcPr>
            <w:tcW w:w="300" w:type="dxa"/>
            <w:vAlign w:val="bottom"/>
          </w:tcPr>
          <w:p>
            <w:pPr>
              <w:spacing w:after="0"/>
              <w:rPr>
                <w:sz w:val="15"/>
                <w:szCs w:val="15"/>
                <w:color w:val="auto"/>
              </w:rPr>
            </w:pPr>
          </w:p>
        </w:tc>
        <w:tc>
          <w:tcPr>
            <w:tcW w:w="1060" w:type="dxa"/>
            <w:vAlign w:val="bottom"/>
          </w:tcPr>
          <w:p>
            <w:pPr>
              <w:jc w:val="center"/>
              <w:ind w:left="281"/>
              <w:spacing w:after="0" w:line="176" w:lineRule="exact"/>
              <w:rPr>
                <w:sz w:val="20"/>
                <w:szCs w:val="20"/>
                <w:color w:val="auto"/>
              </w:rPr>
            </w:pPr>
            <w:r>
              <w:rPr>
                <w:rFonts w:ascii="Arial" w:cs="Arial" w:eastAsia="Arial" w:hAnsi="Arial"/>
                <w:sz w:val="16"/>
                <w:szCs w:val="16"/>
                <w:b w:val="1"/>
                <w:bCs w:val="1"/>
                <w:color w:val="auto"/>
                <w:w w:val="87"/>
              </w:rPr>
              <w:t>Stock</w:t>
            </w:r>
          </w:p>
        </w:tc>
        <w:tc>
          <w:tcPr>
            <w:tcW w:w="360" w:type="dxa"/>
            <w:vAlign w:val="bottom"/>
          </w:tcPr>
          <w:p>
            <w:pPr>
              <w:spacing w:after="0"/>
              <w:rPr>
                <w:sz w:val="15"/>
                <w:szCs w:val="15"/>
                <w:color w:val="auto"/>
              </w:rPr>
            </w:pPr>
          </w:p>
        </w:tc>
      </w:tr>
      <w:tr>
        <w:trPr>
          <w:trHeight w:val="176"/>
        </w:trPr>
        <w:tc>
          <w:tcPr>
            <w:tcW w:w="3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center"/>
              <w:ind w:left="301"/>
              <w:spacing w:after="0" w:line="176" w:lineRule="exact"/>
              <w:rPr>
                <w:sz w:val="20"/>
                <w:szCs w:val="20"/>
                <w:color w:val="auto"/>
              </w:rPr>
            </w:pPr>
            <w:r>
              <w:rPr>
                <w:rFonts w:ascii="Arial" w:cs="Arial" w:eastAsia="Arial" w:hAnsi="Arial"/>
                <w:sz w:val="16"/>
                <w:szCs w:val="16"/>
                <w:b w:val="1"/>
                <w:bCs w:val="1"/>
                <w:color w:val="auto"/>
                <w:w w:val="91"/>
              </w:rPr>
              <w:t>Excluding</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60 Days After</w:t>
            </w:r>
          </w:p>
        </w:tc>
        <w:tc>
          <w:tcPr>
            <w:tcW w:w="28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Beneficially</w:t>
            </w:r>
          </w:p>
        </w:tc>
        <w:tc>
          <w:tcPr>
            <w:tcW w:w="300" w:type="dxa"/>
            <w:vAlign w:val="bottom"/>
          </w:tcPr>
          <w:p>
            <w:pPr>
              <w:spacing w:after="0"/>
              <w:rPr>
                <w:sz w:val="15"/>
                <w:szCs w:val="15"/>
                <w:color w:val="auto"/>
              </w:rPr>
            </w:pPr>
          </w:p>
        </w:tc>
        <w:tc>
          <w:tcPr>
            <w:tcW w:w="14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7"/>
              </w:rPr>
              <w:t>Beneficially</w:t>
            </w:r>
          </w:p>
        </w:tc>
      </w:tr>
      <w:tr>
        <w:trPr>
          <w:trHeight w:val="209"/>
        </w:trPr>
        <w:tc>
          <w:tcPr>
            <w:tcW w:w="3680" w:type="dxa"/>
            <w:vAlign w:val="bottom"/>
            <w:tcBorders>
              <w:bottom w:val="single" w:sz="8" w:color="auto"/>
            </w:tcBorders>
          </w:tcPr>
          <w:p>
            <w:pPr>
              <w:ind w:left="1640"/>
              <w:spacing w:after="0"/>
              <w:rPr>
                <w:sz w:val="20"/>
                <w:szCs w:val="20"/>
                <w:color w:val="auto"/>
              </w:rPr>
            </w:pPr>
            <w:r>
              <w:rPr>
                <w:rFonts w:ascii="Arial" w:cs="Arial" w:eastAsia="Arial" w:hAnsi="Arial"/>
                <w:sz w:val="16"/>
                <w:szCs w:val="16"/>
                <w:b w:val="1"/>
                <w:bCs w:val="1"/>
                <w:color w:val="auto"/>
              </w:rPr>
              <w:t>Name</w:t>
            </w:r>
          </w:p>
        </w:tc>
        <w:tc>
          <w:tcPr>
            <w:tcW w:w="280" w:type="dxa"/>
            <w:vAlign w:val="bottom"/>
          </w:tcPr>
          <w:p>
            <w:pPr>
              <w:spacing w:after="0"/>
              <w:rPr>
                <w:sz w:val="18"/>
                <w:szCs w:val="18"/>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Stock Options (a)</w:t>
            </w:r>
          </w:p>
        </w:tc>
        <w:tc>
          <w:tcPr>
            <w:tcW w:w="28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3/28/2008</w:t>
            </w: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Owned (b)</w:t>
            </w:r>
          </w:p>
        </w:tc>
        <w:tc>
          <w:tcPr>
            <w:tcW w:w="300" w:type="dxa"/>
            <w:vAlign w:val="bottom"/>
          </w:tcPr>
          <w:p>
            <w:pPr>
              <w:spacing w:after="0"/>
              <w:rPr>
                <w:sz w:val="18"/>
                <w:szCs w:val="18"/>
                <w:color w:val="auto"/>
              </w:rPr>
            </w:pPr>
          </w:p>
        </w:tc>
        <w:tc>
          <w:tcPr>
            <w:tcW w:w="1060" w:type="dxa"/>
            <w:vAlign w:val="bottom"/>
            <w:tcBorders>
              <w:bottom w:val="single" w:sz="8" w:color="auto"/>
            </w:tcBorders>
          </w:tcPr>
          <w:p>
            <w:pPr>
              <w:jc w:val="center"/>
              <w:ind w:left="301"/>
              <w:spacing w:after="0"/>
              <w:rPr>
                <w:sz w:val="20"/>
                <w:szCs w:val="20"/>
                <w:color w:val="auto"/>
              </w:rPr>
            </w:pPr>
            <w:r>
              <w:rPr>
                <w:rFonts w:ascii="Arial" w:cs="Arial" w:eastAsia="Arial" w:hAnsi="Arial"/>
                <w:sz w:val="16"/>
                <w:szCs w:val="16"/>
                <w:b w:val="1"/>
                <w:bCs w:val="1"/>
                <w:color w:val="auto"/>
                <w:w w:val="89"/>
              </w:rPr>
              <w:t>Owned</w:t>
            </w:r>
          </w:p>
        </w:tc>
        <w:tc>
          <w:tcPr>
            <w:tcW w:w="360" w:type="dxa"/>
            <w:vAlign w:val="bottom"/>
            <w:tcBorders>
              <w:bottom w:val="single" w:sz="8" w:color="auto"/>
            </w:tcBorders>
          </w:tcPr>
          <w:p>
            <w:pPr>
              <w:spacing w:after="0"/>
              <w:rPr>
                <w:sz w:val="18"/>
                <w:szCs w:val="18"/>
                <w:color w:val="auto"/>
              </w:rPr>
            </w:pPr>
          </w:p>
        </w:tc>
      </w:tr>
      <w:tr>
        <w:trPr>
          <w:trHeight w:val="268"/>
        </w:trPr>
        <w:tc>
          <w:tcPr>
            <w:tcW w:w="3680" w:type="dxa"/>
            <w:vAlign w:val="bottom"/>
            <w:shd w:val="clear" w:color="auto" w:fill="E5FFFF"/>
          </w:tcPr>
          <w:p>
            <w:pPr>
              <w:ind w:left="20"/>
              <w:spacing w:after="0"/>
              <w:rPr>
                <w:sz w:val="20"/>
                <w:szCs w:val="20"/>
                <w:color w:val="auto"/>
              </w:rPr>
            </w:pPr>
            <w:r>
              <w:rPr>
                <w:rFonts w:ascii="Arial" w:cs="Arial" w:eastAsia="Arial" w:hAnsi="Arial"/>
                <w:sz w:val="19"/>
                <w:szCs w:val="19"/>
                <w:color w:val="auto"/>
              </w:rPr>
              <w:t>Gary M. Bahler</w:t>
            </w:r>
          </w:p>
        </w:tc>
        <w:tc>
          <w:tcPr>
            <w:tcW w:w="1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126,530</w:t>
            </w:r>
          </w:p>
        </w:tc>
        <w:tc>
          <w:tcPr>
            <w:tcW w:w="380" w:type="dxa"/>
            <w:vAlign w:val="bottom"/>
            <w:shd w:val="clear" w:color="auto" w:fill="E5FFFF"/>
          </w:tcPr>
          <w:p>
            <w:pPr>
              <w:spacing w:after="0"/>
              <w:rPr>
                <w:sz w:val="23"/>
                <w:szCs w:val="23"/>
                <w:color w:val="auto"/>
              </w:rPr>
            </w:pPr>
          </w:p>
        </w:tc>
        <w:tc>
          <w:tcPr>
            <w:tcW w:w="190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253,334</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32"/>
              <w:spacing w:after="0"/>
              <w:rPr>
                <w:sz w:val="20"/>
                <w:szCs w:val="20"/>
                <w:color w:val="auto"/>
              </w:rPr>
            </w:pPr>
            <w:r>
              <w:rPr>
                <w:rFonts w:ascii="Arial" w:cs="Arial" w:eastAsia="Arial" w:hAnsi="Arial"/>
                <w:sz w:val="19"/>
                <w:szCs w:val="19"/>
                <w:color w:val="auto"/>
              </w:rPr>
              <w:t>—</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379,864</w:t>
            </w:r>
          </w:p>
        </w:tc>
        <w:tc>
          <w:tcPr>
            <w:tcW w:w="360" w:type="dxa"/>
            <w:vAlign w:val="bottom"/>
            <w:shd w:val="clear" w:color="auto" w:fill="E5FFFF"/>
          </w:tcPr>
          <w:p>
            <w:pPr>
              <w:spacing w:after="0"/>
              <w:rPr>
                <w:sz w:val="23"/>
                <w:szCs w:val="23"/>
                <w:color w:val="auto"/>
              </w:rPr>
            </w:pPr>
          </w:p>
        </w:tc>
      </w:tr>
      <w:tr>
        <w:trPr>
          <w:trHeight w:val="265"/>
        </w:trPr>
        <w:tc>
          <w:tcPr>
            <w:tcW w:w="3680" w:type="dxa"/>
            <w:vAlign w:val="bottom"/>
          </w:tcPr>
          <w:p>
            <w:pPr>
              <w:ind w:left="20"/>
              <w:spacing w:after="0"/>
              <w:rPr>
                <w:sz w:val="20"/>
                <w:szCs w:val="20"/>
                <w:color w:val="auto"/>
              </w:rPr>
            </w:pPr>
            <w:r>
              <w:rPr>
                <w:rFonts w:ascii="Arial" w:cs="Arial" w:eastAsia="Arial" w:hAnsi="Arial"/>
                <w:sz w:val="19"/>
                <w:szCs w:val="19"/>
                <w:color w:val="auto"/>
              </w:rPr>
              <w:t>Nicholas DiPaolo</w:t>
            </w:r>
          </w:p>
        </w:tc>
        <w:tc>
          <w:tcPr>
            <w:tcW w:w="1560" w:type="dxa"/>
            <w:vAlign w:val="bottom"/>
            <w:gridSpan w:val="2"/>
          </w:tcPr>
          <w:p>
            <w:pPr>
              <w:jc w:val="right"/>
              <w:spacing w:after="0"/>
              <w:rPr>
                <w:sz w:val="20"/>
                <w:szCs w:val="20"/>
                <w:color w:val="auto"/>
              </w:rPr>
            </w:pPr>
            <w:r>
              <w:rPr>
                <w:rFonts w:ascii="Arial" w:cs="Arial" w:eastAsia="Arial" w:hAnsi="Arial"/>
                <w:sz w:val="19"/>
                <w:szCs w:val="19"/>
                <w:color w:val="auto"/>
              </w:rPr>
              <w:t>12,826</w:t>
            </w:r>
          </w:p>
        </w:tc>
        <w:tc>
          <w:tcPr>
            <w:tcW w:w="380" w:type="dxa"/>
            <w:vAlign w:val="bottom"/>
          </w:tcPr>
          <w:p>
            <w:pPr>
              <w:ind w:left="20"/>
              <w:spacing w:after="0"/>
              <w:rPr>
                <w:sz w:val="20"/>
                <w:szCs w:val="20"/>
                <w:color w:val="auto"/>
              </w:rPr>
            </w:pPr>
            <w:r>
              <w:rPr>
                <w:rFonts w:ascii="Arial" w:cs="Arial" w:eastAsia="Arial" w:hAnsi="Arial"/>
                <w:sz w:val="19"/>
                <w:szCs w:val="19"/>
                <w:color w:val="auto"/>
              </w:rPr>
              <w:t>(c)</w:t>
            </w:r>
          </w:p>
        </w:tc>
        <w:tc>
          <w:tcPr>
            <w:tcW w:w="1900" w:type="dxa"/>
            <w:vAlign w:val="bottom"/>
            <w:gridSpan w:val="2"/>
          </w:tcPr>
          <w:p>
            <w:pPr>
              <w:jc w:val="right"/>
              <w:ind w:right="61"/>
              <w:spacing w:after="0"/>
              <w:rPr>
                <w:sz w:val="20"/>
                <w:szCs w:val="20"/>
                <w:color w:val="auto"/>
              </w:rPr>
            </w:pPr>
            <w:r>
              <w:rPr>
                <w:rFonts w:ascii="Arial" w:cs="Arial" w:eastAsia="Arial" w:hAnsi="Arial"/>
                <w:sz w:val="19"/>
                <w:szCs w:val="19"/>
                <w:color w:val="auto"/>
              </w:rPr>
              <w:t>16,542</w:t>
            </w:r>
          </w:p>
        </w:tc>
        <w:tc>
          <w:tcPr>
            <w:tcW w:w="1300" w:type="dxa"/>
            <w:vAlign w:val="bottom"/>
            <w:gridSpan w:val="2"/>
          </w:tcPr>
          <w:p>
            <w:pPr>
              <w:jc w:val="right"/>
              <w:ind w:right="32"/>
              <w:spacing w:after="0"/>
              <w:rPr>
                <w:sz w:val="20"/>
                <w:szCs w:val="20"/>
                <w:color w:val="auto"/>
              </w:rPr>
            </w:pPr>
            <w:r>
              <w:rPr>
                <w:rFonts w:ascii="Arial" w:cs="Arial" w:eastAsia="Arial" w:hAnsi="Arial"/>
                <w:sz w:val="19"/>
                <w:szCs w:val="19"/>
                <w:color w:val="auto"/>
              </w:rPr>
              <w:t>3,704</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33,072</w:t>
            </w:r>
          </w:p>
        </w:tc>
        <w:tc>
          <w:tcPr>
            <w:tcW w:w="360" w:type="dxa"/>
            <w:vAlign w:val="bottom"/>
          </w:tcPr>
          <w:p>
            <w:pPr>
              <w:spacing w:after="0"/>
              <w:rPr>
                <w:sz w:val="23"/>
                <w:szCs w:val="23"/>
                <w:color w:val="auto"/>
              </w:rPr>
            </w:pPr>
          </w:p>
        </w:tc>
      </w:tr>
      <w:tr>
        <w:trPr>
          <w:trHeight w:val="275"/>
        </w:trPr>
        <w:tc>
          <w:tcPr>
            <w:tcW w:w="36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Alan D. Feldman</w:t>
            </w:r>
          </w:p>
        </w:tc>
        <w:tc>
          <w:tcPr>
            <w:tcW w:w="1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11,065</w:t>
            </w:r>
          </w:p>
        </w:tc>
        <w:tc>
          <w:tcPr>
            <w:tcW w:w="380" w:type="dxa"/>
            <w:vAlign w:val="bottom"/>
            <w:shd w:val="clear" w:color="auto" w:fill="E5FFFF"/>
          </w:tcPr>
          <w:p>
            <w:pPr>
              <w:spacing w:after="0"/>
              <w:rPr>
                <w:sz w:val="23"/>
                <w:szCs w:val="23"/>
                <w:color w:val="auto"/>
              </w:rPr>
            </w:pPr>
          </w:p>
        </w:tc>
        <w:tc>
          <w:tcPr>
            <w:tcW w:w="190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6,314</w:t>
            </w:r>
          </w:p>
        </w:tc>
        <w:tc>
          <w:tcPr>
            <w:tcW w:w="1300" w:type="dxa"/>
            <w:vAlign w:val="bottom"/>
            <w:gridSpan w:val="2"/>
            <w:shd w:val="clear" w:color="auto" w:fill="E5FFFF"/>
          </w:tcPr>
          <w:p>
            <w:pPr>
              <w:jc w:val="right"/>
              <w:ind w:right="32"/>
              <w:spacing w:after="0"/>
              <w:rPr>
                <w:sz w:val="20"/>
                <w:szCs w:val="20"/>
                <w:color w:val="auto"/>
              </w:rPr>
            </w:pPr>
            <w:r>
              <w:rPr>
                <w:rFonts w:ascii="Arial" w:cs="Arial" w:eastAsia="Arial" w:hAnsi="Arial"/>
                <w:sz w:val="19"/>
                <w:szCs w:val="19"/>
                <w:color w:val="auto"/>
              </w:rPr>
              <w:t>3,704</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21,083</w:t>
            </w:r>
          </w:p>
        </w:tc>
        <w:tc>
          <w:tcPr>
            <w:tcW w:w="360" w:type="dxa"/>
            <w:vAlign w:val="bottom"/>
            <w:shd w:val="clear" w:color="auto" w:fill="E5FFFF"/>
          </w:tcPr>
          <w:p>
            <w:pPr>
              <w:spacing w:after="0"/>
              <w:rPr>
                <w:sz w:val="23"/>
                <w:szCs w:val="23"/>
                <w:color w:val="auto"/>
              </w:rPr>
            </w:pPr>
          </w:p>
        </w:tc>
      </w:tr>
      <w:tr>
        <w:trPr>
          <w:trHeight w:val="265"/>
        </w:trPr>
        <w:tc>
          <w:tcPr>
            <w:tcW w:w="3680" w:type="dxa"/>
            <w:vAlign w:val="bottom"/>
          </w:tcPr>
          <w:p>
            <w:pPr>
              <w:ind w:left="20"/>
              <w:spacing w:after="0"/>
              <w:rPr>
                <w:sz w:val="20"/>
                <w:szCs w:val="20"/>
                <w:color w:val="auto"/>
              </w:rPr>
            </w:pPr>
            <w:r>
              <w:rPr>
                <w:rFonts w:ascii="Arial" w:cs="Arial" w:eastAsia="Arial" w:hAnsi="Arial"/>
                <w:sz w:val="19"/>
                <w:szCs w:val="19"/>
                <w:color w:val="auto"/>
              </w:rPr>
              <w:t>Jarobin Gilbert Jr.</w:t>
            </w:r>
          </w:p>
        </w:tc>
        <w:tc>
          <w:tcPr>
            <w:tcW w:w="1560" w:type="dxa"/>
            <w:vAlign w:val="bottom"/>
            <w:gridSpan w:val="2"/>
          </w:tcPr>
          <w:p>
            <w:pPr>
              <w:jc w:val="right"/>
              <w:spacing w:after="0"/>
              <w:rPr>
                <w:sz w:val="20"/>
                <w:szCs w:val="20"/>
                <w:color w:val="auto"/>
              </w:rPr>
            </w:pPr>
            <w:r>
              <w:rPr>
                <w:rFonts w:ascii="Arial" w:cs="Arial" w:eastAsia="Arial" w:hAnsi="Arial"/>
                <w:sz w:val="19"/>
                <w:szCs w:val="19"/>
                <w:color w:val="auto"/>
              </w:rPr>
              <w:t>9,610</w:t>
            </w:r>
          </w:p>
        </w:tc>
        <w:tc>
          <w:tcPr>
            <w:tcW w:w="380" w:type="dxa"/>
            <w:vAlign w:val="bottom"/>
          </w:tcPr>
          <w:p>
            <w:pPr>
              <w:spacing w:after="0"/>
              <w:rPr>
                <w:sz w:val="23"/>
                <w:szCs w:val="23"/>
                <w:color w:val="auto"/>
              </w:rPr>
            </w:pPr>
          </w:p>
        </w:tc>
        <w:tc>
          <w:tcPr>
            <w:tcW w:w="1900" w:type="dxa"/>
            <w:vAlign w:val="bottom"/>
            <w:gridSpan w:val="2"/>
          </w:tcPr>
          <w:p>
            <w:pPr>
              <w:jc w:val="right"/>
              <w:ind w:right="61"/>
              <w:spacing w:after="0"/>
              <w:rPr>
                <w:sz w:val="20"/>
                <w:szCs w:val="20"/>
                <w:color w:val="auto"/>
              </w:rPr>
            </w:pPr>
            <w:r>
              <w:rPr>
                <w:rFonts w:ascii="Arial" w:cs="Arial" w:eastAsia="Arial" w:hAnsi="Arial"/>
                <w:sz w:val="19"/>
                <w:szCs w:val="19"/>
                <w:color w:val="auto"/>
              </w:rPr>
              <w:t>25,520</w:t>
            </w:r>
          </w:p>
        </w:tc>
        <w:tc>
          <w:tcPr>
            <w:tcW w:w="1300" w:type="dxa"/>
            <w:vAlign w:val="bottom"/>
            <w:gridSpan w:val="2"/>
          </w:tcPr>
          <w:p>
            <w:pPr>
              <w:jc w:val="right"/>
              <w:ind w:right="32"/>
              <w:spacing w:after="0"/>
              <w:rPr>
                <w:sz w:val="20"/>
                <w:szCs w:val="20"/>
                <w:color w:val="auto"/>
              </w:rPr>
            </w:pPr>
            <w:r>
              <w:rPr>
                <w:rFonts w:ascii="Arial" w:cs="Arial" w:eastAsia="Arial" w:hAnsi="Arial"/>
                <w:sz w:val="19"/>
                <w:szCs w:val="19"/>
                <w:color w:val="auto"/>
              </w:rPr>
              <w:t>3,704</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38,834</w:t>
            </w:r>
          </w:p>
        </w:tc>
        <w:tc>
          <w:tcPr>
            <w:tcW w:w="360" w:type="dxa"/>
            <w:vAlign w:val="bottom"/>
          </w:tcPr>
          <w:p>
            <w:pPr>
              <w:spacing w:after="0"/>
              <w:rPr>
                <w:sz w:val="23"/>
                <w:szCs w:val="23"/>
                <w:color w:val="auto"/>
              </w:rPr>
            </w:pPr>
          </w:p>
        </w:tc>
      </w:tr>
      <w:tr>
        <w:trPr>
          <w:trHeight w:val="275"/>
        </w:trPr>
        <w:tc>
          <w:tcPr>
            <w:tcW w:w="3680" w:type="dxa"/>
            <w:vAlign w:val="bottom"/>
            <w:shd w:val="clear" w:color="auto" w:fill="E5FFFF"/>
          </w:tcPr>
          <w:p>
            <w:pPr>
              <w:ind w:left="20"/>
              <w:spacing w:after="0"/>
              <w:rPr>
                <w:sz w:val="20"/>
                <w:szCs w:val="20"/>
                <w:color w:val="auto"/>
              </w:rPr>
            </w:pPr>
            <w:r>
              <w:rPr>
                <w:rFonts w:ascii="Arial" w:cs="Arial" w:eastAsia="Arial" w:hAnsi="Arial"/>
                <w:sz w:val="19"/>
                <w:szCs w:val="19"/>
                <w:color w:val="auto"/>
              </w:rPr>
              <w:t>Ronald J. Halls</w:t>
            </w:r>
          </w:p>
        </w:tc>
        <w:tc>
          <w:tcPr>
            <w:tcW w:w="1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124,551</w:t>
            </w:r>
          </w:p>
        </w:tc>
        <w:tc>
          <w:tcPr>
            <w:tcW w:w="380" w:type="dxa"/>
            <w:vAlign w:val="bottom"/>
            <w:shd w:val="clear" w:color="auto" w:fill="E5FFFF"/>
          </w:tcPr>
          <w:p>
            <w:pPr>
              <w:spacing w:after="0"/>
              <w:rPr>
                <w:sz w:val="23"/>
                <w:szCs w:val="23"/>
                <w:color w:val="auto"/>
              </w:rPr>
            </w:pPr>
          </w:p>
        </w:tc>
        <w:tc>
          <w:tcPr>
            <w:tcW w:w="190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116,667</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32"/>
              <w:spacing w:after="0"/>
              <w:rPr>
                <w:sz w:val="20"/>
                <w:szCs w:val="20"/>
                <w:color w:val="auto"/>
              </w:rPr>
            </w:pPr>
            <w:r>
              <w:rPr>
                <w:rFonts w:ascii="Arial" w:cs="Arial" w:eastAsia="Arial" w:hAnsi="Arial"/>
                <w:sz w:val="19"/>
                <w:szCs w:val="19"/>
                <w:color w:val="auto"/>
              </w:rPr>
              <w:t>—</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241,218</w:t>
            </w:r>
          </w:p>
        </w:tc>
        <w:tc>
          <w:tcPr>
            <w:tcW w:w="360" w:type="dxa"/>
            <w:vAlign w:val="bottom"/>
            <w:shd w:val="clear" w:color="auto" w:fill="E5FFFF"/>
          </w:tcPr>
          <w:p>
            <w:pPr>
              <w:spacing w:after="0"/>
              <w:rPr>
                <w:sz w:val="23"/>
                <w:szCs w:val="23"/>
                <w:color w:val="auto"/>
              </w:rPr>
            </w:pPr>
          </w:p>
        </w:tc>
      </w:tr>
      <w:tr>
        <w:trPr>
          <w:trHeight w:val="265"/>
        </w:trPr>
        <w:tc>
          <w:tcPr>
            <w:tcW w:w="3680" w:type="dxa"/>
            <w:vAlign w:val="bottom"/>
          </w:tcPr>
          <w:p>
            <w:pPr>
              <w:ind w:left="20"/>
              <w:spacing w:after="0"/>
              <w:rPr>
                <w:sz w:val="20"/>
                <w:szCs w:val="20"/>
                <w:color w:val="auto"/>
              </w:rPr>
            </w:pPr>
            <w:r>
              <w:rPr>
                <w:rFonts w:ascii="Arial" w:cs="Arial" w:eastAsia="Arial" w:hAnsi="Arial"/>
                <w:sz w:val="19"/>
                <w:szCs w:val="19"/>
                <w:color w:val="auto"/>
              </w:rPr>
              <w:t>Robert W. McHugh</w:t>
            </w:r>
          </w:p>
        </w:tc>
        <w:tc>
          <w:tcPr>
            <w:tcW w:w="1560" w:type="dxa"/>
            <w:vAlign w:val="bottom"/>
            <w:gridSpan w:val="2"/>
          </w:tcPr>
          <w:p>
            <w:pPr>
              <w:jc w:val="right"/>
              <w:spacing w:after="0"/>
              <w:rPr>
                <w:sz w:val="20"/>
                <w:szCs w:val="20"/>
                <w:color w:val="auto"/>
              </w:rPr>
            </w:pPr>
            <w:r>
              <w:rPr>
                <w:rFonts w:ascii="Arial" w:cs="Arial" w:eastAsia="Arial" w:hAnsi="Arial"/>
                <w:sz w:val="19"/>
                <w:szCs w:val="19"/>
                <w:color w:val="auto"/>
              </w:rPr>
              <w:t>146,472</w:t>
            </w:r>
          </w:p>
        </w:tc>
        <w:tc>
          <w:tcPr>
            <w:tcW w:w="380" w:type="dxa"/>
            <w:vAlign w:val="bottom"/>
          </w:tcPr>
          <w:p>
            <w:pPr>
              <w:spacing w:after="0"/>
              <w:rPr>
                <w:sz w:val="23"/>
                <w:szCs w:val="23"/>
                <w:color w:val="auto"/>
              </w:rPr>
            </w:pPr>
          </w:p>
        </w:tc>
        <w:tc>
          <w:tcPr>
            <w:tcW w:w="1900" w:type="dxa"/>
            <w:vAlign w:val="bottom"/>
            <w:gridSpan w:val="2"/>
          </w:tcPr>
          <w:p>
            <w:pPr>
              <w:jc w:val="right"/>
              <w:ind w:right="61"/>
              <w:spacing w:after="0"/>
              <w:rPr>
                <w:sz w:val="20"/>
                <w:szCs w:val="20"/>
                <w:color w:val="auto"/>
              </w:rPr>
            </w:pPr>
            <w:r>
              <w:rPr>
                <w:rFonts w:ascii="Arial" w:cs="Arial" w:eastAsia="Arial" w:hAnsi="Arial"/>
                <w:sz w:val="19"/>
                <w:szCs w:val="19"/>
                <w:color w:val="auto"/>
              </w:rPr>
              <w:t>165,666</w:t>
            </w:r>
          </w:p>
        </w:tc>
        <w:tc>
          <w:tcPr>
            <w:tcW w:w="28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9"/>
                <w:szCs w:val="19"/>
                <w:color w:val="auto"/>
              </w:rPr>
              <w:t>—</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312,138</w:t>
            </w:r>
          </w:p>
        </w:tc>
        <w:tc>
          <w:tcPr>
            <w:tcW w:w="360" w:type="dxa"/>
            <w:vAlign w:val="bottom"/>
          </w:tcPr>
          <w:p>
            <w:pPr>
              <w:spacing w:after="0"/>
              <w:rPr>
                <w:sz w:val="23"/>
                <w:szCs w:val="23"/>
                <w:color w:val="auto"/>
              </w:rPr>
            </w:pPr>
          </w:p>
        </w:tc>
      </w:tr>
      <w:tr>
        <w:trPr>
          <w:trHeight w:val="275"/>
        </w:trPr>
        <w:tc>
          <w:tcPr>
            <w:tcW w:w="3680" w:type="dxa"/>
            <w:vAlign w:val="bottom"/>
            <w:shd w:val="clear" w:color="auto" w:fill="E5FFFF"/>
          </w:tcPr>
          <w:p>
            <w:pPr>
              <w:ind w:left="20"/>
              <w:spacing w:after="0"/>
              <w:rPr>
                <w:sz w:val="20"/>
                <w:szCs w:val="20"/>
                <w:color w:val="auto"/>
              </w:rPr>
            </w:pPr>
            <w:r>
              <w:rPr>
                <w:rFonts w:ascii="Arial" w:cs="Arial" w:eastAsia="Arial" w:hAnsi="Arial"/>
                <w:sz w:val="19"/>
                <w:szCs w:val="19"/>
                <w:color w:val="auto"/>
              </w:rPr>
              <w:t>Matthew M. McKenna</w:t>
            </w:r>
          </w:p>
        </w:tc>
        <w:tc>
          <w:tcPr>
            <w:tcW w:w="1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14,616</w:t>
            </w:r>
          </w:p>
        </w:tc>
        <w:tc>
          <w:tcPr>
            <w:tcW w:w="380" w:type="dxa"/>
            <w:vAlign w:val="bottom"/>
            <w:shd w:val="clear" w:color="auto" w:fill="E5FFFF"/>
          </w:tcPr>
          <w:p>
            <w:pPr>
              <w:spacing w:after="0"/>
              <w:rPr>
                <w:sz w:val="23"/>
                <w:szCs w:val="23"/>
                <w:color w:val="auto"/>
              </w:rPr>
            </w:pPr>
          </w:p>
        </w:tc>
        <w:tc>
          <w:tcPr>
            <w:tcW w:w="190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4,287</w:t>
            </w:r>
          </w:p>
        </w:tc>
        <w:tc>
          <w:tcPr>
            <w:tcW w:w="1300" w:type="dxa"/>
            <w:vAlign w:val="bottom"/>
            <w:gridSpan w:val="2"/>
            <w:shd w:val="clear" w:color="auto" w:fill="E5FFFF"/>
          </w:tcPr>
          <w:p>
            <w:pPr>
              <w:jc w:val="right"/>
              <w:ind w:right="32"/>
              <w:spacing w:after="0"/>
              <w:rPr>
                <w:sz w:val="20"/>
                <w:szCs w:val="20"/>
                <w:color w:val="auto"/>
              </w:rPr>
            </w:pPr>
            <w:r>
              <w:rPr>
                <w:rFonts w:ascii="Arial" w:cs="Arial" w:eastAsia="Arial" w:hAnsi="Arial"/>
                <w:sz w:val="19"/>
                <w:szCs w:val="19"/>
                <w:color w:val="auto"/>
              </w:rPr>
              <w:t>3,704</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22,607</w:t>
            </w:r>
          </w:p>
        </w:tc>
        <w:tc>
          <w:tcPr>
            <w:tcW w:w="360" w:type="dxa"/>
            <w:vAlign w:val="bottom"/>
            <w:shd w:val="clear" w:color="auto" w:fill="E5FFFF"/>
          </w:tcPr>
          <w:p>
            <w:pPr>
              <w:spacing w:after="0"/>
              <w:rPr>
                <w:sz w:val="23"/>
                <w:szCs w:val="23"/>
                <w:color w:val="auto"/>
              </w:rPr>
            </w:pPr>
          </w:p>
        </w:tc>
      </w:tr>
      <w:tr>
        <w:trPr>
          <w:trHeight w:val="265"/>
        </w:trPr>
        <w:tc>
          <w:tcPr>
            <w:tcW w:w="3680" w:type="dxa"/>
            <w:vAlign w:val="bottom"/>
          </w:tcPr>
          <w:p>
            <w:pPr>
              <w:ind w:left="20"/>
              <w:spacing w:after="0"/>
              <w:rPr>
                <w:sz w:val="20"/>
                <w:szCs w:val="20"/>
                <w:color w:val="auto"/>
              </w:rPr>
            </w:pPr>
            <w:r>
              <w:rPr>
                <w:rFonts w:ascii="Arial" w:cs="Arial" w:eastAsia="Arial" w:hAnsi="Arial"/>
                <w:sz w:val="19"/>
                <w:szCs w:val="19"/>
                <w:color w:val="auto"/>
              </w:rPr>
              <w:t>Richard T. Mina</w:t>
            </w:r>
          </w:p>
        </w:tc>
        <w:tc>
          <w:tcPr>
            <w:tcW w:w="1560" w:type="dxa"/>
            <w:vAlign w:val="bottom"/>
            <w:gridSpan w:val="2"/>
          </w:tcPr>
          <w:p>
            <w:pPr>
              <w:jc w:val="right"/>
              <w:spacing w:after="0"/>
              <w:rPr>
                <w:sz w:val="20"/>
                <w:szCs w:val="20"/>
                <w:color w:val="auto"/>
              </w:rPr>
            </w:pPr>
            <w:r>
              <w:rPr>
                <w:rFonts w:ascii="Arial" w:cs="Arial" w:eastAsia="Arial" w:hAnsi="Arial"/>
                <w:sz w:val="19"/>
                <w:szCs w:val="19"/>
                <w:color w:val="auto"/>
              </w:rPr>
              <w:t>237,619</w:t>
            </w:r>
          </w:p>
        </w:tc>
        <w:tc>
          <w:tcPr>
            <w:tcW w:w="380" w:type="dxa"/>
            <w:vAlign w:val="bottom"/>
          </w:tcPr>
          <w:p>
            <w:pPr>
              <w:ind w:left="20"/>
              <w:spacing w:after="0"/>
              <w:rPr>
                <w:sz w:val="20"/>
                <w:szCs w:val="20"/>
                <w:color w:val="auto"/>
              </w:rPr>
            </w:pPr>
            <w:r>
              <w:rPr>
                <w:rFonts w:ascii="Arial" w:cs="Arial" w:eastAsia="Arial" w:hAnsi="Arial"/>
                <w:sz w:val="19"/>
                <w:szCs w:val="19"/>
                <w:color w:val="auto"/>
              </w:rPr>
              <w:t>(d)</w:t>
            </w:r>
          </w:p>
        </w:tc>
        <w:tc>
          <w:tcPr>
            <w:tcW w:w="1900" w:type="dxa"/>
            <w:vAlign w:val="bottom"/>
            <w:gridSpan w:val="2"/>
          </w:tcPr>
          <w:p>
            <w:pPr>
              <w:jc w:val="right"/>
              <w:ind w:right="61"/>
              <w:spacing w:after="0"/>
              <w:rPr>
                <w:sz w:val="20"/>
                <w:szCs w:val="20"/>
                <w:color w:val="auto"/>
              </w:rPr>
            </w:pPr>
            <w:r>
              <w:rPr>
                <w:rFonts w:ascii="Arial" w:cs="Arial" w:eastAsia="Arial" w:hAnsi="Arial"/>
                <w:sz w:val="19"/>
                <w:szCs w:val="19"/>
                <w:color w:val="auto"/>
              </w:rPr>
              <w:t>407,171</w:t>
            </w:r>
          </w:p>
        </w:tc>
        <w:tc>
          <w:tcPr>
            <w:tcW w:w="28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9"/>
                <w:szCs w:val="19"/>
                <w:color w:val="auto"/>
              </w:rPr>
              <w:t>—</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644,790</w:t>
            </w:r>
          </w:p>
        </w:tc>
        <w:tc>
          <w:tcPr>
            <w:tcW w:w="360" w:type="dxa"/>
            <w:vAlign w:val="bottom"/>
          </w:tcPr>
          <w:p>
            <w:pPr>
              <w:spacing w:after="0"/>
              <w:rPr>
                <w:sz w:val="23"/>
                <w:szCs w:val="23"/>
                <w:color w:val="auto"/>
              </w:rPr>
            </w:pPr>
          </w:p>
        </w:tc>
      </w:tr>
      <w:tr>
        <w:trPr>
          <w:trHeight w:val="275"/>
        </w:trPr>
        <w:tc>
          <w:tcPr>
            <w:tcW w:w="3680" w:type="dxa"/>
            <w:vAlign w:val="bottom"/>
            <w:shd w:val="clear" w:color="auto" w:fill="E5FFFF"/>
          </w:tcPr>
          <w:p>
            <w:pPr>
              <w:ind w:left="20"/>
              <w:spacing w:after="0"/>
              <w:rPr>
                <w:sz w:val="20"/>
                <w:szCs w:val="20"/>
                <w:color w:val="auto"/>
              </w:rPr>
            </w:pPr>
            <w:r>
              <w:rPr>
                <w:rFonts w:ascii="Arial" w:cs="Arial" w:eastAsia="Arial" w:hAnsi="Arial"/>
                <w:sz w:val="19"/>
                <w:szCs w:val="19"/>
                <w:color w:val="auto"/>
              </w:rPr>
              <w:t>James E. Preston</w:t>
            </w:r>
          </w:p>
        </w:tc>
        <w:tc>
          <w:tcPr>
            <w:tcW w:w="1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55,271</w:t>
            </w:r>
          </w:p>
        </w:tc>
        <w:tc>
          <w:tcPr>
            <w:tcW w:w="380" w:type="dxa"/>
            <w:vAlign w:val="bottom"/>
            <w:shd w:val="clear" w:color="auto" w:fill="E5FFFF"/>
          </w:tcPr>
          <w:p>
            <w:pPr>
              <w:spacing w:after="0"/>
              <w:rPr>
                <w:sz w:val="23"/>
                <w:szCs w:val="23"/>
                <w:color w:val="auto"/>
              </w:rPr>
            </w:pPr>
          </w:p>
        </w:tc>
        <w:tc>
          <w:tcPr>
            <w:tcW w:w="190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25,520</w:t>
            </w:r>
          </w:p>
        </w:tc>
        <w:tc>
          <w:tcPr>
            <w:tcW w:w="1300" w:type="dxa"/>
            <w:vAlign w:val="bottom"/>
            <w:gridSpan w:val="2"/>
            <w:shd w:val="clear" w:color="auto" w:fill="E5FFFF"/>
          </w:tcPr>
          <w:p>
            <w:pPr>
              <w:jc w:val="right"/>
              <w:ind w:right="32"/>
              <w:spacing w:after="0"/>
              <w:rPr>
                <w:sz w:val="20"/>
                <w:szCs w:val="20"/>
                <w:color w:val="auto"/>
              </w:rPr>
            </w:pPr>
            <w:r>
              <w:rPr>
                <w:rFonts w:ascii="Arial" w:cs="Arial" w:eastAsia="Arial" w:hAnsi="Arial"/>
                <w:sz w:val="19"/>
                <w:szCs w:val="19"/>
                <w:color w:val="auto"/>
              </w:rPr>
              <w:t>3,704</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84,495</w:t>
            </w:r>
          </w:p>
        </w:tc>
        <w:tc>
          <w:tcPr>
            <w:tcW w:w="360" w:type="dxa"/>
            <w:vAlign w:val="bottom"/>
            <w:shd w:val="clear" w:color="auto" w:fill="E5FFFF"/>
          </w:tcPr>
          <w:p>
            <w:pPr>
              <w:spacing w:after="0"/>
              <w:rPr>
                <w:sz w:val="23"/>
                <w:szCs w:val="23"/>
                <w:color w:val="auto"/>
              </w:rPr>
            </w:pPr>
          </w:p>
        </w:tc>
      </w:tr>
      <w:tr>
        <w:trPr>
          <w:trHeight w:val="265"/>
        </w:trPr>
        <w:tc>
          <w:tcPr>
            <w:tcW w:w="3680" w:type="dxa"/>
            <w:vAlign w:val="bottom"/>
          </w:tcPr>
          <w:p>
            <w:pPr>
              <w:ind w:left="20"/>
              <w:spacing w:after="0"/>
              <w:rPr>
                <w:sz w:val="20"/>
                <w:szCs w:val="20"/>
                <w:color w:val="auto"/>
              </w:rPr>
            </w:pPr>
            <w:r>
              <w:rPr>
                <w:rFonts w:ascii="Arial" w:cs="Arial" w:eastAsia="Arial" w:hAnsi="Arial"/>
                <w:sz w:val="19"/>
                <w:szCs w:val="19"/>
                <w:color w:val="auto"/>
              </w:rPr>
              <w:t>David Y. Schwartz</w:t>
            </w:r>
          </w:p>
        </w:tc>
        <w:tc>
          <w:tcPr>
            <w:tcW w:w="1560" w:type="dxa"/>
            <w:vAlign w:val="bottom"/>
            <w:gridSpan w:val="2"/>
          </w:tcPr>
          <w:p>
            <w:pPr>
              <w:jc w:val="right"/>
              <w:spacing w:after="0"/>
              <w:rPr>
                <w:sz w:val="20"/>
                <w:szCs w:val="20"/>
                <w:color w:val="auto"/>
              </w:rPr>
            </w:pPr>
            <w:r>
              <w:rPr>
                <w:rFonts w:ascii="Arial" w:cs="Arial" w:eastAsia="Arial" w:hAnsi="Arial"/>
                <w:sz w:val="19"/>
                <w:szCs w:val="19"/>
                <w:color w:val="auto"/>
              </w:rPr>
              <w:t>12,275</w:t>
            </w:r>
          </w:p>
        </w:tc>
        <w:tc>
          <w:tcPr>
            <w:tcW w:w="380" w:type="dxa"/>
            <w:vAlign w:val="bottom"/>
          </w:tcPr>
          <w:p>
            <w:pPr>
              <w:spacing w:after="0"/>
              <w:rPr>
                <w:sz w:val="23"/>
                <w:szCs w:val="23"/>
                <w:color w:val="auto"/>
              </w:rPr>
            </w:pPr>
          </w:p>
        </w:tc>
        <w:tc>
          <w:tcPr>
            <w:tcW w:w="1900" w:type="dxa"/>
            <w:vAlign w:val="bottom"/>
            <w:gridSpan w:val="2"/>
          </w:tcPr>
          <w:p>
            <w:pPr>
              <w:jc w:val="right"/>
              <w:ind w:right="61"/>
              <w:spacing w:after="0"/>
              <w:rPr>
                <w:sz w:val="20"/>
                <w:szCs w:val="20"/>
                <w:color w:val="auto"/>
              </w:rPr>
            </w:pPr>
            <w:r>
              <w:rPr>
                <w:rFonts w:ascii="Arial" w:cs="Arial" w:eastAsia="Arial" w:hAnsi="Arial"/>
                <w:sz w:val="19"/>
                <w:szCs w:val="19"/>
                <w:color w:val="auto"/>
              </w:rPr>
              <w:t>25,520</w:t>
            </w:r>
          </w:p>
        </w:tc>
        <w:tc>
          <w:tcPr>
            <w:tcW w:w="1300" w:type="dxa"/>
            <w:vAlign w:val="bottom"/>
            <w:gridSpan w:val="2"/>
          </w:tcPr>
          <w:p>
            <w:pPr>
              <w:jc w:val="right"/>
              <w:ind w:right="32"/>
              <w:spacing w:after="0"/>
              <w:rPr>
                <w:sz w:val="20"/>
                <w:szCs w:val="20"/>
                <w:color w:val="auto"/>
              </w:rPr>
            </w:pPr>
            <w:r>
              <w:rPr>
                <w:rFonts w:ascii="Arial" w:cs="Arial" w:eastAsia="Arial" w:hAnsi="Arial"/>
                <w:sz w:val="19"/>
                <w:szCs w:val="19"/>
                <w:color w:val="auto"/>
              </w:rPr>
              <w:t>13,127</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50,922</w:t>
            </w:r>
          </w:p>
        </w:tc>
        <w:tc>
          <w:tcPr>
            <w:tcW w:w="360" w:type="dxa"/>
            <w:vAlign w:val="bottom"/>
          </w:tcPr>
          <w:p>
            <w:pPr>
              <w:spacing w:after="0"/>
              <w:rPr>
                <w:sz w:val="23"/>
                <w:szCs w:val="23"/>
                <w:color w:val="auto"/>
              </w:rPr>
            </w:pPr>
          </w:p>
        </w:tc>
      </w:tr>
      <w:tr>
        <w:trPr>
          <w:trHeight w:val="275"/>
        </w:trPr>
        <w:tc>
          <w:tcPr>
            <w:tcW w:w="3680" w:type="dxa"/>
            <w:vAlign w:val="bottom"/>
            <w:shd w:val="clear" w:color="auto" w:fill="E5FFFF"/>
          </w:tcPr>
          <w:p>
            <w:pPr>
              <w:ind w:left="20"/>
              <w:spacing w:after="0"/>
              <w:rPr>
                <w:sz w:val="20"/>
                <w:szCs w:val="20"/>
                <w:color w:val="auto"/>
              </w:rPr>
            </w:pPr>
            <w:r>
              <w:rPr>
                <w:rFonts w:ascii="Arial" w:cs="Arial" w:eastAsia="Arial" w:hAnsi="Arial"/>
                <w:sz w:val="19"/>
                <w:szCs w:val="19"/>
                <w:color w:val="auto"/>
              </w:rPr>
              <w:t>Matthew D. Serra</w:t>
            </w:r>
          </w:p>
        </w:tc>
        <w:tc>
          <w:tcPr>
            <w:tcW w:w="1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708,989</w:t>
            </w:r>
          </w:p>
        </w:tc>
        <w:tc>
          <w:tcPr>
            <w:tcW w:w="380" w:type="dxa"/>
            <w:vAlign w:val="bottom"/>
            <w:shd w:val="clear" w:color="auto" w:fill="E5FFFF"/>
          </w:tcPr>
          <w:p>
            <w:pPr>
              <w:spacing w:after="0"/>
              <w:rPr>
                <w:sz w:val="23"/>
                <w:szCs w:val="23"/>
                <w:color w:val="auto"/>
              </w:rPr>
            </w:pPr>
          </w:p>
        </w:tc>
        <w:tc>
          <w:tcPr>
            <w:tcW w:w="190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1,097,832</w:t>
            </w:r>
          </w:p>
        </w:tc>
        <w:tc>
          <w:tcPr>
            <w:tcW w:w="280" w:type="dxa"/>
            <w:vAlign w:val="bottom"/>
            <w:shd w:val="clear" w:color="auto" w:fill="E5FFFF"/>
          </w:tcPr>
          <w:p>
            <w:pPr>
              <w:spacing w:after="0"/>
              <w:rPr>
                <w:sz w:val="23"/>
                <w:szCs w:val="23"/>
                <w:color w:val="auto"/>
              </w:rPr>
            </w:pPr>
          </w:p>
        </w:tc>
        <w:tc>
          <w:tcPr>
            <w:tcW w:w="1020" w:type="dxa"/>
            <w:vAlign w:val="bottom"/>
            <w:shd w:val="clear" w:color="auto" w:fill="E5FFFF"/>
          </w:tcPr>
          <w:p>
            <w:pPr>
              <w:jc w:val="right"/>
              <w:ind w:right="32"/>
              <w:spacing w:after="0"/>
              <w:rPr>
                <w:sz w:val="20"/>
                <w:szCs w:val="20"/>
                <w:color w:val="auto"/>
              </w:rPr>
            </w:pPr>
            <w:r>
              <w:rPr>
                <w:rFonts w:ascii="Arial" w:cs="Arial" w:eastAsia="Arial" w:hAnsi="Arial"/>
                <w:sz w:val="19"/>
                <w:szCs w:val="19"/>
                <w:color w:val="auto"/>
              </w:rPr>
              <w:t>—</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1,806,821</w:t>
            </w:r>
          </w:p>
        </w:tc>
        <w:tc>
          <w:tcPr>
            <w:tcW w:w="360" w:type="dxa"/>
            <w:vAlign w:val="bottom"/>
            <w:shd w:val="clear" w:color="auto" w:fill="E5FFFF"/>
          </w:tcPr>
          <w:p>
            <w:pPr>
              <w:spacing w:after="0"/>
              <w:rPr>
                <w:sz w:val="23"/>
                <w:szCs w:val="23"/>
                <w:color w:val="auto"/>
              </w:rPr>
            </w:pPr>
          </w:p>
        </w:tc>
      </w:tr>
      <w:tr>
        <w:trPr>
          <w:trHeight w:val="265"/>
        </w:trPr>
        <w:tc>
          <w:tcPr>
            <w:tcW w:w="3680" w:type="dxa"/>
            <w:vAlign w:val="bottom"/>
          </w:tcPr>
          <w:p>
            <w:pPr>
              <w:ind w:left="20"/>
              <w:spacing w:after="0"/>
              <w:rPr>
                <w:sz w:val="20"/>
                <w:szCs w:val="20"/>
                <w:color w:val="auto"/>
              </w:rPr>
            </w:pPr>
            <w:r>
              <w:rPr>
                <w:rFonts w:ascii="Arial" w:cs="Arial" w:eastAsia="Arial" w:hAnsi="Arial"/>
                <w:sz w:val="19"/>
                <w:szCs w:val="19"/>
                <w:color w:val="auto"/>
              </w:rPr>
              <w:t>Christopher A. Sinclair</w:t>
            </w:r>
          </w:p>
        </w:tc>
        <w:tc>
          <w:tcPr>
            <w:tcW w:w="1560" w:type="dxa"/>
            <w:vAlign w:val="bottom"/>
            <w:gridSpan w:val="2"/>
          </w:tcPr>
          <w:p>
            <w:pPr>
              <w:jc w:val="right"/>
              <w:spacing w:after="0"/>
              <w:rPr>
                <w:sz w:val="20"/>
                <w:szCs w:val="20"/>
                <w:color w:val="auto"/>
              </w:rPr>
            </w:pPr>
            <w:r>
              <w:rPr>
                <w:rFonts w:ascii="Arial" w:cs="Arial" w:eastAsia="Arial" w:hAnsi="Arial"/>
                <w:sz w:val="19"/>
                <w:szCs w:val="19"/>
                <w:color w:val="auto"/>
              </w:rPr>
              <w:t>20,223</w:t>
            </w:r>
          </w:p>
        </w:tc>
        <w:tc>
          <w:tcPr>
            <w:tcW w:w="380" w:type="dxa"/>
            <w:vAlign w:val="bottom"/>
          </w:tcPr>
          <w:p>
            <w:pPr>
              <w:spacing w:after="0"/>
              <w:rPr>
                <w:sz w:val="23"/>
                <w:szCs w:val="23"/>
                <w:color w:val="auto"/>
              </w:rPr>
            </w:pPr>
          </w:p>
        </w:tc>
        <w:tc>
          <w:tcPr>
            <w:tcW w:w="1900" w:type="dxa"/>
            <w:vAlign w:val="bottom"/>
            <w:gridSpan w:val="2"/>
          </w:tcPr>
          <w:p>
            <w:pPr>
              <w:jc w:val="right"/>
              <w:ind w:right="61"/>
              <w:spacing w:after="0"/>
              <w:rPr>
                <w:sz w:val="20"/>
                <w:szCs w:val="20"/>
                <w:color w:val="auto"/>
              </w:rPr>
            </w:pPr>
            <w:r>
              <w:rPr>
                <w:rFonts w:ascii="Arial" w:cs="Arial" w:eastAsia="Arial" w:hAnsi="Arial"/>
                <w:sz w:val="19"/>
                <w:szCs w:val="19"/>
                <w:color w:val="auto"/>
              </w:rPr>
              <w:t>25,520</w:t>
            </w:r>
          </w:p>
        </w:tc>
        <w:tc>
          <w:tcPr>
            <w:tcW w:w="1300" w:type="dxa"/>
            <w:vAlign w:val="bottom"/>
            <w:gridSpan w:val="2"/>
          </w:tcPr>
          <w:p>
            <w:pPr>
              <w:jc w:val="right"/>
              <w:ind w:right="32"/>
              <w:spacing w:after="0"/>
              <w:rPr>
                <w:sz w:val="20"/>
                <w:szCs w:val="20"/>
                <w:color w:val="auto"/>
              </w:rPr>
            </w:pPr>
            <w:r>
              <w:rPr>
                <w:rFonts w:ascii="Arial" w:cs="Arial" w:eastAsia="Arial" w:hAnsi="Arial"/>
                <w:sz w:val="19"/>
                <w:szCs w:val="19"/>
                <w:color w:val="auto"/>
              </w:rPr>
              <w:t>3,704</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49,447</w:t>
            </w:r>
          </w:p>
        </w:tc>
        <w:tc>
          <w:tcPr>
            <w:tcW w:w="360" w:type="dxa"/>
            <w:vAlign w:val="bottom"/>
          </w:tcPr>
          <w:p>
            <w:pPr>
              <w:spacing w:after="0"/>
              <w:rPr>
                <w:sz w:val="23"/>
                <w:szCs w:val="23"/>
                <w:color w:val="auto"/>
              </w:rPr>
            </w:pPr>
          </w:p>
        </w:tc>
      </w:tr>
      <w:tr>
        <w:trPr>
          <w:trHeight w:val="275"/>
        </w:trPr>
        <w:tc>
          <w:tcPr>
            <w:tcW w:w="3680" w:type="dxa"/>
            <w:vAlign w:val="bottom"/>
            <w:shd w:val="clear" w:color="auto" w:fill="E5FFFF"/>
          </w:tcPr>
          <w:p>
            <w:pPr>
              <w:ind w:left="20"/>
              <w:spacing w:after="0"/>
              <w:rPr>
                <w:sz w:val="20"/>
                <w:szCs w:val="20"/>
                <w:color w:val="auto"/>
              </w:rPr>
            </w:pPr>
            <w:r>
              <w:rPr>
                <w:rFonts w:ascii="Arial" w:cs="Arial" w:eastAsia="Arial" w:hAnsi="Arial"/>
                <w:sz w:val="19"/>
                <w:szCs w:val="19"/>
                <w:color w:val="auto"/>
              </w:rPr>
              <w:t>Cheryl Nido Turpin</w:t>
            </w:r>
          </w:p>
        </w:tc>
        <w:tc>
          <w:tcPr>
            <w:tcW w:w="1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5,964</w:t>
            </w:r>
          </w:p>
        </w:tc>
        <w:tc>
          <w:tcPr>
            <w:tcW w:w="380" w:type="dxa"/>
            <w:vAlign w:val="bottom"/>
            <w:shd w:val="clear" w:color="auto" w:fill="E5FFFF"/>
          </w:tcPr>
          <w:p>
            <w:pPr>
              <w:spacing w:after="0"/>
              <w:rPr>
                <w:sz w:val="23"/>
                <w:szCs w:val="23"/>
                <w:color w:val="auto"/>
              </w:rPr>
            </w:pPr>
          </w:p>
        </w:tc>
        <w:tc>
          <w:tcPr>
            <w:tcW w:w="190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20,815</w:t>
            </w:r>
          </w:p>
        </w:tc>
        <w:tc>
          <w:tcPr>
            <w:tcW w:w="1300" w:type="dxa"/>
            <w:vAlign w:val="bottom"/>
            <w:gridSpan w:val="2"/>
            <w:shd w:val="clear" w:color="auto" w:fill="E5FFFF"/>
          </w:tcPr>
          <w:p>
            <w:pPr>
              <w:jc w:val="right"/>
              <w:ind w:right="32"/>
              <w:spacing w:after="0"/>
              <w:rPr>
                <w:sz w:val="20"/>
                <w:szCs w:val="20"/>
                <w:color w:val="auto"/>
              </w:rPr>
            </w:pPr>
            <w:r>
              <w:rPr>
                <w:rFonts w:ascii="Arial" w:cs="Arial" w:eastAsia="Arial" w:hAnsi="Arial"/>
                <w:sz w:val="19"/>
                <w:szCs w:val="19"/>
                <w:color w:val="auto"/>
              </w:rPr>
              <w:t>15,176</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41,955</w:t>
            </w:r>
          </w:p>
        </w:tc>
        <w:tc>
          <w:tcPr>
            <w:tcW w:w="360" w:type="dxa"/>
            <w:vAlign w:val="bottom"/>
            <w:shd w:val="clear" w:color="auto" w:fill="E5FFFF"/>
          </w:tcPr>
          <w:p>
            <w:pPr>
              <w:spacing w:after="0"/>
              <w:rPr>
                <w:sz w:val="23"/>
                <w:szCs w:val="23"/>
                <w:color w:val="auto"/>
              </w:rPr>
            </w:pPr>
          </w:p>
        </w:tc>
      </w:tr>
      <w:tr>
        <w:trPr>
          <w:trHeight w:val="265"/>
        </w:trPr>
        <w:tc>
          <w:tcPr>
            <w:tcW w:w="3680" w:type="dxa"/>
            <w:vAlign w:val="bottom"/>
          </w:tcPr>
          <w:p>
            <w:pPr>
              <w:ind w:left="20"/>
              <w:spacing w:after="0"/>
              <w:rPr>
                <w:sz w:val="20"/>
                <w:szCs w:val="20"/>
                <w:color w:val="auto"/>
              </w:rPr>
            </w:pPr>
            <w:r>
              <w:rPr>
                <w:rFonts w:ascii="Arial" w:cs="Arial" w:eastAsia="Arial" w:hAnsi="Arial"/>
                <w:sz w:val="19"/>
                <w:szCs w:val="19"/>
                <w:color w:val="auto"/>
              </w:rPr>
              <w:t>Dona D. Young</w:t>
            </w:r>
          </w:p>
        </w:tc>
        <w:tc>
          <w:tcPr>
            <w:tcW w:w="1560" w:type="dxa"/>
            <w:vAlign w:val="bottom"/>
            <w:gridSpan w:val="2"/>
          </w:tcPr>
          <w:p>
            <w:pPr>
              <w:jc w:val="right"/>
              <w:spacing w:after="0"/>
              <w:rPr>
                <w:sz w:val="20"/>
                <w:szCs w:val="20"/>
                <w:color w:val="auto"/>
              </w:rPr>
            </w:pPr>
            <w:r>
              <w:rPr>
                <w:rFonts w:ascii="Arial" w:cs="Arial" w:eastAsia="Arial" w:hAnsi="Arial"/>
                <w:sz w:val="19"/>
                <w:szCs w:val="19"/>
                <w:color w:val="auto"/>
              </w:rPr>
              <w:t>7,356</w:t>
            </w:r>
          </w:p>
        </w:tc>
        <w:tc>
          <w:tcPr>
            <w:tcW w:w="380" w:type="dxa"/>
            <w:vAlign w:val="bottom"/>
          </w:tcPr>
          <w:p>
            <w:pPr>
              <w:spacing w:after="0"/>
              <w:rPr>
                <w:sz w:val="23"/>
                <w:szCs w:val="23"/>
                <w:color w:val="auto"/>
              </w:rPr>
            </w:pPr>
          </w:p>
        </w:tc>
        <w:tc>
          <w:tcPr>
            <w:tcW w:w="1900" w:type="dxa"/>
            <w:vAlign w:val="bottom"/>
            <w:gridSpan w:val="2"/>
          </w:tcPr>
          <w:p>
            <w:pPr>
              <w:jc w:val="right"/>
              <w:ind w:right="61"/>
              <w:spacing w:after="0"/>
              <w:rPr>
                <w:sz w:val="20"/>
                <w:szCs w:val="20"/>
                <w:color w:val="auto"/>
              </w:rPr>
            </w:pPr>
            <w:r>
              <w:rPr>
                <w:rFonts w:ascii="Arial" w:cs="Arial" w:eastAsia="Arial" w:hAnsi="Arial"/>
                <w:sz w:val="19"/>
                <w:szCs w:val="19"/>
                <w:color w:val="auto"/>
              </w:rPr>
              <w:t>20,815</w:t>
            </w:r>
          </w:p>
        </w:tc>
        <w:tc>
          <w:tcPr>
            <w:tcW w:w="1300" w:type="dxa"/>
            <w:vAlign w:val="bottom"/>
            <w:gridSpan w:val="2"/>
          </w:tcPr>
          <w:p>
            <w:pPr>
              <w:jc w:val="right"/>
              <w:ind w:right="32"/>
              <w:spacing w:after="0"/>
              <w:rPr>
                <w:sz w:val="20"/>
                <w:szCs w:val="20"/>
                <w:color w:val="auto"/>
              </w:rPr>
            </w:pPr>
            <w:r>
              <w:rPr>
                <w:rFonts w:ascii="Arial" w:cs="Arial" w:eastAsia="Arial" w:hAnsi="Arial"/>
                <w:sz w:val="19"/>
                <w:szCs w:val="19"/>
                <w:color w:val="auto"/>
              </w:rPr>
              <w:t>22,550</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50,721</w:t>
            </w:r>
          </w:p>
        </w:tc>
        <w:tc>
          <w:tcPr>
            <w:tcW w:w="360" w:type="dxa"/>
            <w:vAlign w:val="bottom"/>
          </w:tcPr>
          <w:p>
            <w:pPr>
              <w:spacing w:after="0"/>
              <w:rPr>
                <w:sz w:val="23"/>
                <w:szCs w:val="23"/>
                <w:color w:val="auto"/>
              </w:rPr>
            </w:pPr>
          </w:p>
        </w:tc>
      </w:tr>
      <w:tr>
        <w:trPr>
          <w:trHeight w:val="235"/>
        </w:trPr>
        <w:tc>
          <w:tcPr>
            <w:tcW w:w="3680" w:type="dxa"/>
            <w:vAlign w:val="bottom"/>
            <w:shd w:val="clear" w:color="auto" w:fill="E5FFFF"/>
          </w:tcPr>
          <w:p>
            <w:pPr>
              <w:ind w:left="20"/>
              <w:spacing w:after="0"/>
              <w:rPr>
                <w:sz w:val="20"/>
                <w:szCs w:val="20"/>
                <w:color w:val="auto"/>
              </w:rPr>
            </w:pPr>
            <w:r>
              <w:rPr>
                <w:rFonts w:ascii="Arial" w:cs="Arial" w:eastAsia="Arial" w:hAnsi="Arial"/>
                <w:sz w:val="19"/>
                <w:szCs w:val="19"/>
                <w:color w:val="auto"/>
              </w:rPr>
              <w:t>All 20 directors and executive officers as a</w:t>
            </w:r>
          </w:p>
        </w:tc>
        <w:tc>
          <w:tcPr>
            <w:tcW w:w="280" w:type="dxa"/>
            <w:vAlign w:val="bottom"/>
            <w:shd w:val="clear" w:color="auto" w:fill="E5FFFF"/>
          </w:tcPr>
          <w:p>
            <w:pPr>
              <w:spacing w:after="0"/>
              <w:rPr>
                <w:sz w:val="20"/>
                <w:szCs w:val="20"/>
                <w:color w:val="auto"/>
              </w:rPr>
            </w:pPr>
          </w:p>
        </w:tc>
        <w:tc>
          <w:tcPr>
            <w:tcW w:w="128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62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02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060" w:type="dxa"/>
            <w:vAlign w:val="bottom"/>
            <w:shd w:val="clear" w:color="auto" w:fill="E5FFFF"/>
          </w:tcPr>
          <w:p>
            <w:pPr>
              <w:spacing w:after="0"/>
              <w:rPr>
                <w:sz w:val="20"/>
                <w:szCs w:val="20"/>
                <w:color w:val="auto"/>
              </w:rPr>
            </w:pPr>
          </w:p>
        </w:tc>
        <w:tc>
          <w:tcPr>
            <w:tcW w:w="360" w:type="dxa"/>
            <w:vAlign w:val="bottom"/>
            <w:shd w:val="clear" w:color="auto" w:fill="E5FFFF"/>
          </w:tcPr>
          <w:p>
            <w:pPr>
              <w:spacing w:after="0"/>
              <w:rPr>
                <w:sz w:val="20"/>
                <w:szCs w:val="20"/>
                <w:color w:val="auto"/>
              </w:rPr>
            </w:pPr>
          </w:p>
        </w:tc>
      </w:tr>
      <w:tr>
        <w:trPr>
          <w:trHeight w:val="230"/>
        </w:trPr>
        <w:tc>
          <w:tcPr>
            <w:tcW w:w="36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group, including the named executive</w:t>
            </w:r>
          </w:p>
        </w:tc>
        <w:tc>
          <w:tcPr>
            <w:tcW w:w="280" w:type="dxa"/>
            <w:vAlign w:val="bottom"/>
            <w:shd w:val="clear" w:color="auto" w:fill="E5FFFF"/>
          </w:tcPr>
          <w:p>
            <w:pPr>
              <w:spacing w:after="0"/>
              <w:rPr>
                <w:sz w:val="19"/>
                <w:szCs w:val="19"/>
                <w:color w:val="auto"/>
              </w:rPr>
            </w:pPr>
          </w:p>
        </w:tc>
        <w:tc>
          <w:tcPr>
            <w:tcW w:w="1280" w:type="dxa"/>
            <w:vAlign w:val="bottom"/>
            <w:shd w:val="clear" w:color="auto" w:fill="E5FFFF"/>
          </w:tcPr>
          <w:p>
            <w:pPr>
              <w:spacing w:after="0"/>
              <w:rPr>
                <w:sz w:val="19"/>
                <w:szCs w:val="19"/>
                <w:color w:val="auto"/>
              </w:rPr>
            </w:pPr>
          </w:p>
        </w:tc>
        <w:tc>
          <w:tcPr>
            <w:tcW w:w="38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62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0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06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r>
      <w:tr>
        <w:trPr>
          <w:trHeight w:val="247"/>
        </w:trPr>
        <w:tc>
          <w:tcPr>
            <w:tcW w:w="3680" w:type="dxa"/>
            <w:vAlign w:val="bottom"/>
            <w:shd w:val="clear" w:color="auto" w:fill="E5FFFF"/>
          </w:tcPr>
          <w:p>
            <w:pPr>
              <w:ind w:left="200"/>
              <w:spacing w:after="0"/>
              <w:rPr>
                <w:sz w:val="20"/>
                <w:szCs w:val="20"/>
                <w:color w:val="auto"/>
              </w:rPr>
            </w:pPr>
            <w:r>
              <w:rPr>
                <w:rFonts w:ascii="Arial" w:cs="Arial" w:eastAsia="Arial" w:hAnsi="Arial"/>
                <w:sz w:val="19"/>
                <w:szCs w:val="19"/>
                <w:color w:val="auto"/>
              </w:rPr>
              <w:t>officers</w:t>
            </w:r>
          </w:p>
        </w:tc>
        <w:tc>
          <w:tcPr>
            <w:tcW w:w="15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1,828,120</w:t>
            </w:r>
          </w:p>
        </w:tc>
        <w:tc>
          <w:tcPr>
            <w:tcW w:w="380" w:type="dxa"/>
            <w:vAlign w:val="bottom"/>
            <w:shd w:val="clear" w:color="auto" w:fill="E5FFFF"/>
          </w:tcPr>
          <w:p>
            <w:pPr>
              <w:spacing w:after="0"/>
              <w:rPr>
                <w:sz w:val="21"/>
                <w:szCs w:val="21"/>
                <w:color w:val="auto"/>
              </w:rPr>
            </w:pPr>
          </w:p>
        </w:tc>
        <w:tc>
          <w:tcPr>
            <w:tcW w:w="190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2,974,852</w:t>
            </w:r>
          </w:p>
        </w:tc>
        <w:tc>
          <w:tcPr>
            <w:tcW w:w="1300" w:type="dxa"/>
            <w:vAlign w:val="bottom"/>
            <w:gridSpan w:val="2"/>
            <w:shd w:val="clear" w:color="auto" w:fill="E5FFFF"/>
          </w:tcPr>
          <w:p>
            <w:pPr>
              <w:jc w:val="right"/>
              <w:ind w:right="32"/>
              <w:spacing w:after="0"/>
              <w:rPr>
                <w:sz w:val="20"/>
                <w:szCs w:val="20"/>
                <w:color w:val="auto"/>
              </w:rPr>
            </w:pPr>
            <w:r>
              <w:rPr>
                <w:rFonts w:ascii="Arial" w:cs="Arial" w:eastAsia="Arial" w:hAnsi="Arial"/>
                <w:sz w:val="19"/>
                <w:szCs w:val="19"/>
                <w:color w:val="auto"/>
              </w:rPr>
              <w:t>73,077</w:t>
            </w:r>
          </w:p>
        </w:tc>
        <w:tc>
          <w:tcPr>
            <w:tcW w:w="13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4,876,049</w:t>
            </w:r>
          </w:p>
        </w:tc>
        <w:tc>
          <w:tcPr>
            <w:tcW w:w="360" w:type="dxa"/>
            <w:vAlign w:val="bottom"/>
            <w:shd w:val="clear" w:color="auto" w:fill="E5FFFF"/>
          </w:tcPr>
          <w:p>
            <w:pPr>
              <w:ind w:left="20"/>
              <w:spacing w:after="0"/>
              <w:rPr>
                <w:sz w:val="20"/>
                <w:szCs w:val="20"/>
                <w:color w:val="auto"/>
              </w:rPr>
            </w:pPr>
            <w:r>
              <w:rPr>
                <w:rFonts w:ascii="Arial" w:cs="Arial" w:eastAsia="Arial" w:hAnsi="Arial"/>
                <w:sz w:val="19"/>
                <w:szCs w:val="19"/>
                <w:color w:val="auto"/>
              </w:rPr>
              <w:t>(e)</w:t>
            </w:r>
          </w:p>
        </w:tc>
      </w:tr>
      <w:tr>
        <w:trPr>
          <w:trHeight w:val="280"/>
        </w:trPr>
        <w:tc>
          <w:tcPr>
            <w:tcW w:w="368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1280" w:type="dxa"/>
            <w:vAlign w:val="bottom"/>
            <w:shd w:val="clear" w:color="auto" w:fill="E5FFFF"/>
          </w:tcPr>
          <w:p>
            <w:pPr>
              <w:spacing w:after="0"/>
              <w:rPr>
                <w:sz w:val="24"/>
                <w:szCs w:val="24"/>
                <w:color w:val="auto"/>
              </w:rPr>
            </w:pPr>
          </w:p>
        </w:tc>
        <w:tc>
          <w:tcPr>
            <w:tcW w:w="38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1620" w:type="dxa"/>
            <w:vAlign w:val="bottom"/>
            <w:shd w:val="clear" w:color="auto" w:fill="E5FFFF"/>
          </w:tcPr>
          <w:p>
            <w:pPr>
              <w:spacing w:after="0"/>
              <w:rPr>
                <w:sz w:val="24"/>
                <w:szCs w:val="24"/>
                <w:color w:val="auto"/>
              </w:rPr>
            </w:pPr>
          </w:p>
        </w:tc>
        <w:tc>
          <w:tcPr>
            <w:tcW w:w="280" w:type="dxa"/>
            <w:vAlign w:val="bottom"/>
            <w:shd w:val="clear" w:color="auto" w:fill="E5FFFF"/>
          </w:tcPr>
          <w:p>
            <w:pPr>
              <w:spacing w:after="0"/>
              <w:rPr>
                <w:sz w:val="24"/>
                <w:szCs w:val="24"/>
                <w:color w:val="auto"/>
              </w:rPr>
            </w:pPr>
          </w:p>
        </w:tc>
        <w:tc>
          <w:tcPr>
            <w:tcW w:w="1020" w:type="dxa"/>
            <w:vAlign w:val="bottom"/>
            <w:shd w:val="clear" w:color="auto" w:fill="E5FFFF"/>
          </w:tcPr>
          <w:p>
            <w:pPr>
              <w:spacing w:after="0"/>
              <w:rPr>
                <w:sz w:val="24"/>
                <w:szCs w:val="24"/>
                <w:color w:val="auto"/>
              </w:rPr>
            </w:pPr>
          </w:p>
        </w:tc>
        <w:tc>
          <w:tcPr>
            <w:tcW w:w="300" w:type="dxa"/>
            <w:vAlign w:val="bottom"/>
            <w:shd w:val="clear" w:color="auto" w:fill="E5FFFF"/>
          </w:tcPr>
          <w:p>
            <w:pPr>
              <w:spacing w:after="0"/>
              <w:rPr>
                <w:sz w:val="24"/>
                <w:szCs w:val="24"/>
                <w:color w:val="auto"/>
              </w:rPr>
            </w:pPr>
          </w:p>
        </w:tc>
        <w:tc>
          <w:tcPr>
            <w:tcW w:w="1060" w:type="dxa"/>
            <w:vAlign w:val="bottom"/>
            <w:shd w:val="clear" w:color="auto" w:fill="E5FFFF"/>
          </w:tcPr>
          <w:p>
            <w:pPr>
              <w:spacing w:after="0"/>
              <w:rPr>
                <w:sz w:val="24"/>
                <w:szCs w:val="24"/>
                <w:color w:val="auto"/>
              </w:rPr>
            </w:pPr>
          </w:p>
        </w:tc>
        <w:tc>
          <w:tcPr>
            <w:tcW w:w="360" w:type="dxa"/>
            <w:vAlign w:val="bottom"/>
            <w:shd w:val="clear" w:color="auto" w:fill="E5FFFF"/>
          </w:tcPr>
          <w:p>
            <w:pPr>
              <w:spacing w:after="0"/>
              <w:rPr>
                <w:sz w:val="24"/>
                <w:szCs w:val="24"/>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Beneficial Ownership Table</w:t>
      </w:r>
    </w:p>
    <w:p>
      <w:pPr>
        <w:spacing w:after="0" w:line="173" w:lineRule="exact"/>
        <w:rPr>
          <w:sz w:val="20"/>
          <w:szCs w:val="20"/>
          <w:color w:val="auto"/>
        </w:rPr>
      </w:pPr>
    </w:p>
    <w:p>
      <w:pPr>
        <w:ind w:left="440" w:hanging="309"/>
        <w:spacing w:after="0"/>
        <w:tabs>
          <w:tab w:leader="none" w:pos="4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This column includes shares held in the Company’s 401(k) Plan and unvested shares of restricted stock.</w:t>
      </w:r>
    </w:p>
    <w:p>
      <w:pPr>
        <w:spacing w:after="0" w:line="119" w:lineRule="exact"/>
        <w:rPr>
          <w:rFonts w:ascii="Arial" w:cs="Arial" w:eastAsia="Arial" w:hAnsi="Arial"/>
          <w:sz w:val="19"/>
          <w:szCs w:val="19"/>
          <w:color w:val="auto"/>
        </w:rPr>
      </w:pPr>
    </w:p>
    <w:p>
      <w:pPr>
        <w:ind w:left="440" w:hanging="320"/>
        <w:spacing w:after="0" w:line="267" w:lineRule="auto"/>
        <w:tabs>
          <w:tab w:leader="none" w:pos="4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This column includes (i) the number of deferred stock units credited as of March 28, 2008 to the account of the directors who elected to defer all or part of their annual retainer fee and (ii) directors’ unvested restricted stock units (“RSUs”). The deferred stock units and RSUs do not have current voting or investment power.</w:t>
      </w:r>
    </w:p>
    <w:p>
      <w:pPr>
        <w:spacing w:after="0" w:line="81" w:lineRule="exact"/>
        <w:rPr>
          <w:rFonts w:ascii="Arial" w:cs="Arial" w:eastAsia="Arial" w:hAnsi="Arial"/>
          <w:sz w:val="19"/>
          <w:szCs w:val="19"/>
          <w:color w:val="auto"/>
        </w:rPr>
      </w:pPr>
    </w:p>
    <w:p>
      <w:pPr>
        <w:ind w:left="440" w:hanging="309"/>
        <w:spacing w:after="0"/>
        <w:tabs>
          <w:tab w:leader="none" w:pos="4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Includes 150 shares held by his spouse.</w:t>
      </w:r>
    </w:p>
    <w:p>
      <w:pPr>
        <w:spacing w:after="0" w:line="132" w:lineRule="exact"/>
        <w:rPr>
          <w:rFonts w:ascii="Arial" w:cs="Arial" w:eastAsia="Arial" w:hAnsi="Arial"/>
          <w:sz w:val="19"/>
          <w:szCs w:val="19"/>
          <w:color w:val="auto"/>
        </w:rPr>
      </w:pPr>
    </w:p>
    <w:p>
      <w:pPr>
        <w:ind w:left="440" w:right="420" w:hanging="320"/>
        <w:spacing w:after="0" w:line="283" w:lineRule="auto"/>
        <w:tabs>
          <w:tab w:leader="none" w:pos="4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Does not include 30,000 shares of common stock transferred to spouse under marital settlement agreement in which Mr. Mina disclaims beneficial ownership.</w:t>
      </w:r>
    </w:p>
    <w:p>
      <w:pPr>
        <w:spacing w:after="0" w:line="65" w:lineRule="exact"/>
        <w:rPr>
          <w:rFonts w:ascii="Arial" w:cs="Arial" w:eastAsia="Arial" w:hAnsi="Arial"/>
          <w:sz w:val="19"/>
          <w:szCs w:val="19"/>
          <w:color w:val="auto"/>
        </w:rPr>
      </w:pPr>
    </w:p>
    <w:p>
      <w:pPr>
        <w:ind w:left="440" w:hanging="309"/>
        <w:spacing w:after="0"/>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number represents approximately 3.15 percent of the shares of Common Stock outstanding at the close of business on March 28, 2008.</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p>
      <w:pPr>
        <w:spacing w:after="0"/>
        <w:rPr>
          <w:sz w:val="20"/>
          <w:szCs w:val="20"/>
          <w:color w:val="auto"/>
        </w:rPr>
      </w:pPr>
      <w:r>
        <w:rPr>
          <w:rFonts w:ascii="Arial" w:cs="Arial" w:eastAsia="Arial" w:hAnsi="Arial"/>
          <w:sz w:val="19"/>
          <w:szCs w:val="19"/>
          <w:b w:val="1"/>
          <w:bCs w:val="1"/>
          <w:color w:val="auto"/>
        </w:rPr>
        <w:t>Persons Owning More Than Five Percent of the Company’s Stock</w:t>
      </w:r>
    </w:p>
    <w:p>
      <w:pPr>
        <w:spacing w:after="0" w:line="125" w:lineRule="exact"/>
        <w:rPr>
          <w:sz w:val="20"/>
          <w:szCs w:val="20"/>
          <w:color w:val="auto"/>
        </w:rPr>
      </w:pPr>
    </w:p>
    <w:p>
      <w:pPr>
        <w:ind w:right="260" w:firstLine="357"/>
        <w:spacing w:after="0" w:line="267" w:lineRule="auto"/>
        <w:rPr>
          <w:sz w:val="20"/>
          <w:szCs w:val="20"/>
          <w:color w:val="auto"/>
        </w:rPr>
      </w:pPr>
      <w:r>
        <w:rPr>
          <w:rFonts w:ascii="Arial" w:cs="Arial" w:eastAsia="Arial" w:hAnsi="Arial"/>
          <w:sz w:val="19"/>
          <w:szCs w:val="19"/>
          <w:color w:val="auto"/>
        </w:rPr>
        <w:t>The following table provides information on shareholders who beneficially own more than five percent of our Common Stock according to reports filed with the Securities and Exchange Commission (“SEC”). To the best of our knowledge, there are no other shareholders who beneficially own more than five percent of a class of the Company’s voting securities.</w:t>
      </w:r>
    </w:p>
    <w:p>
      <w:pPr>
        <w:spacing w:after="0" w:line="395"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300" w:type="dxa"/>
            <w:vAlign w:val="bottom"/>
            <w:tcBorders>
              <w:top w:val="single" w:sz="8" w:color="auto"/>
              <w:left w:val="single" w:sz="8" w:color="auto"/>
            </w:tcBorders>
          </w:tcPr>
          <w:p>
            <w:pPr>
              <w:spacing w:after="0"/>
              <w:rPr>
                <w:sz w:val="20"/>
                <w:szCs w:val="20"/>
                <w:color w:val="auto"/>
              </w:rPr>
            </w:pPr>
          </w:p>
        </w:tc>
        <w:tc>
          <w:tcPr>
            <w:tcW w:w="68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Amount and</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760" w:type="dxa"/>
            <w:vAlign w:val="bottom"/>
            <w:tcBorders>
              <w:top w:val="single" w:sz="8" w:color="auto"/>
              <w:right w:val="single" w:sz="8" w:color="auto"/>
            </w:tcBorders>
          </w:tcPr>
          <w:p>
            <w:pPr>
              <w:spacing w:after="0"/>
              <w:rPr>
                <w:sz w:val="20"/>
                <w:szCs w:val="20"/>
                <w:color w:val="auto"/>
              </w:rPr>
            </w:pPr>
          </w:p>
        </w:tc>
      </w:tr>
      <w:tr>
        <w:trPr>
          <w:trHeight w:val="176"/>
        </w:trPr>
        <w:tc>
          <w:tcPr>
            <w:tcW w:w="300" w:type="dxa"/>
            <w:vAlign w:val="bottom"/>
            <w:tcBorders>
              <w:left w:val="single" w:sz="8" w:color="auto"/>
            </w:tcBorders>
          </w:tcPr>
          <w:p>
            <w:pPr>
              <w:spacing w:after="0"/>
              <w:rPr>
                <w:sz w:val="15"/>
                <w:szCs w:val="15"/>
                <w:color w:val="auto"/>
              </w:rPr>
            </w:pPr>
          </w:p>
        </w:tc>
        <w:tc>
          <w:tcPr>
            <w:tcW w:w="6840" w:type="dxa"/>
            <w:vAlign w:val="bottom"/>
          </w:tcPr>
          <w:p>
            <w:pPr>
              <w:ind w:left="2780"/>
              <w:spacing w:after="0" w:line="176" w:lineRule="exact"/>
              <w:rPr>
                <w:sz w:val="20"/>
                <w:szCs w:val="20"/>
                <w:color w:val="auto"/>
              </w:rPr>
            </w:pPr>
            <w:r>
              <w:rPr>
                <w:rFonts w:ascii="Arial" w:cs="Arial" w:eastAsia="Arial" w:hAnsi="Arial"/>
                <w:sz w:val="16"/>
                <w:szCs w:val="16"/>
                <w:b w:val="1"/>
                <w:bCs w:val="1"/>
                <w:color w:val="auto"/>
              </w:rPr>
              <w:t>Name and Address</w:t>
            </w:r>
          </w:p>
        </w:tc>
        <w:tc>
          <w:tcPr>
            <w:tcW w:w="300" w:type="dxa"/>
            <w:vAlign w:val="bottom"/>
          </w:tcPr>
          <w:p>
            <w:pPr>
              <w:spacing w:after="0"/>
              <w:rPr>
                <w:sz w:val="15"/>
                <w:szCs w:val="15"/>
                <w:color w:val="auto"/>
              </w:rPr>
            </w:pPr>
          </w:p>
        </w:tc>
        <w:tc>
          <w:tcPr>
            <w:tcW w:w="1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Nature of</w:t>
            </w:r>
          </w:p>
        </w:tc>
        <w:tc>
          <w:tcPr>
            <w:tcW w:w="300" w:type="dxa"/>
            <w:vAlign w:val="bottom"/>
          </w:tcPr>
          <w:p>
            <w:pPr>
              <w:spacing w:after="0"/>
              <w:rPr>
                <w:sz w:val="15"/>
                <w:szCs w:val="15"/>
                <w:color w:val="auto"/>
              </w:rPr>
            </w:pPr>
          </w:p>
        </w:tc>
        <w:tc>
          <w:tcPr>
            <w:tcW w:w="1820" w:type="dxa"/>
            <w:vAlign w:val="bottom"/>
            <w:tcBorders>
              <w:right w:val="single" w:sz="8" w:color="auto"/>
            </w:tcBorders>
            <w:gridSpan w:val="2"/>
          </w:tcPr>
          <w:p>
            <w:pPr>
              <w:ind w:left="280"/>
              <w:spacing w:after="0" w:line="176" w:lineRule="exact"/>
              <w:rPr>
                <w:sz w:val="20"/>
                <w:szCs w:val="20"/>
                <w:color w:val="auto"/>
              </w:rPr>
            </w:pPr>
            <w:r>
              <w:rPr>
                <w:rFonts w:ascii="Arial" w:cs="Arial" w:eastAsia="Arial" w:hAnsi="Arial"/>
                <w:sz w:val="16"/>
                <w:szCs w:val="16"/>
                <w:b w:val="1"/>
                <w:bCs w:val="1"/>
                <w:color w:val="auto"/>
              </w:rPr>
              <w:t>Percent</w:t>
            </w:r>
          </w:p>
        </w:tc>
      </w:tr>
      <w:tr>
        <w:trPr>
          <w:trHeight w:val="209"/>
        </w:trPr>
        <w:tc>
          <w:tcPr>
            <w:tcW w:w="300" w:type="dxa"/>
            <w:vAlign w:val="bottom"/>
            <w:tcBorders>
              <w:left w:val="single" w:sz="8" w:color="auto"/>
            </w:tcBorders>
          </w:tcPr>
          <w:p>
            <w:pPr>
              <w:spacing w:after="0"/>
              <w:rPr>
                <w:sz w:val="18"/>
                <w:szCs w:val="18"/>
                <w:color w:val="auto"/>
              </w:rPr>
            </w:pPr>
          </w:p>
        </w:tc>
        <w:tc>
          <w:tcPr>
            <w:tcW w:w="6840" w:type="dxa"/>
            <w:vAlign w:val="bottom"/>
          </w:tcPr>
          <w:p>
            <w:pPr>
              <w:ind w:left="2840"/>
              <w:spacing w:after="0"/>
              <w:rPr>
                <w:sz w:val="20"/>
                <w:szCs w:val="20"/>
                <w:color w:val="auto"/>
              </w:rPr>
            </w:pPr>
            <w:r>
              <w:rPr>
                <w:rFonts w:ascii="Arial" w:cs="Arial" w:eastAsia="Arial" w:hAnsi="Arial"/>
                <w:sz w:val="16"/>
                <w:szCs w:val="16"/>
                <w:b w:val="1"/>
                <w:bCs w:val="1"/>
                <w:color w:val="auto"/>
              </w:rPr>
              <w:t>of Beneficial Owner</w:t>
            </w:r>
          </w:p>
        </w:tc>
        <w:tc>
          <w:tcPr>
            <w:tcW w:w="3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Beneficial Ownership</w:t>
            </w:r>
          </w:p>
        </w:tc>
        <w:tc>
          <w:tcPr>
            <w:tcW w:w="300" w:type="dxa"/>
            <w:vAlign w:val="bottom"/>
          </w:tcPr>
          <w:p>
            <w:pPr>
              <w:spacing w:after="0"/>
              <w:rPr>
                <w:sz w:val="18"/>
                <w:szCs w:val="18"/>
                <w:color w:val="auto"/>
              </w:rPr>
            </w:pPr>
          </w:p>
        </w:tc>
        <w:tc>
          <w:tcPr>
            <w:tcW w:w="1820" w:type="dxa"/>
            <w:vAlign w:val="bottom"/>
            <w:tcBorders>
              <w:right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of Class</w:t>
            </w:r>
          </w:p>
        </w:tc>
      </w:tr>
      <w:tr>
        <w:trPr>
          <w:trHeight w:val="258"/>
        </w:trPr>
        <w:tc>
          <w:tcPr>
            <w:tcW w:w="300" w:type="dxa"/>
            <w:vAlign w:val="bottom"/>
            <w:tcBorders>
              <w:left w:val="single" w:sz="8" w:color="auto"/>
            </w:tcBorders>
          </w:tcPr>
          <w:p>
            <w:pPr>
              <w:spacing w:after="0"/>
              <w:rPr>
                <w:sz w:val="22"/>
                <w:szCs w:val="22"/>
                <w:color w:val="auto"/>
              </w:rPr>
            </w:pPr>
          </w:p>
        </w:tc>
        <w:tc>
          <w:tcPr>
            <w:tcW w:w="6840" w:type="dxa"/>
            <w:vAlign w:val="bottom"/>
            <w:tcBorders>
              <w:top w:val="single" w:sz="8" w:color="auto"/>
            </w:tcBorders>
            <w:shd w:val="clear" w:color="auto" w:fill="E5FFFF"/>
          </w:tcPr>
          <w:p>
            <w:pPr>
              <w:ind w:left="20"/>
              <w:spacing w:after="0"/>
              <w:rPr>
                <w:sz w:val="20"/>
                <w:szCs w:val="20"/>
                <w:color w:val="auto"/>
              </w:rPr>
            </w:pPr>
            <w:r>
              <w:rPr>
                <w:rFonts w:ascii="Arial" w:cs="Arial" w:eastAsia="Arial" w:hAnsi="Arial"/>
                <w:sz w:val="19"/>
                <w:szCs w:val="19"/>
                <w:color w:val="auto"/>
              </w:rPr>
              <w:t>Lazard Asset Management LLC</w:t>
            </w:r>
          </w:p>
        </w:tc>
        <w:tc>
          <w:tcPr>
            <w:tcW w:w="300" w:type="dxa"/>
            <w:vAlign w:val="bottom"/>
            <w:shd w:val="clear" w:color="auto" w:fill="E5FFFF"/>
          </w:tcPr>
          <w:p>
            <w:pPr>
              <w:spacing w:after="0"/>
              <w:rPr>
                <w:sz w:val="22"/>
                <w:szCs w:val="22"/>
                <w:color w:val="auto"/>
              </w:rPr>
            </w:pPr>
          </w:p>
        </w:tc>
        <w:tc>
          <w:tcPr>
            <w:tcW w:w="1860" w:type="dxa"/>
            <w:vAlign w:val="bottom"/>
            <w:tcBorders>
              <w:top w:val="single" w:sz="8" w:color="auto"/>
            </w:tcBorders>
            <w:shd w:val="clear" w:color="auto" w:fill="E5FFFF"/>
          </w:tcPr>
          <w:p>
            <w:pPr>
              <w:jc w:val="right"/>
              <w:ind w:right="9"/>
              <w:spacing w:after="0"/>
              <w:rPr>
                <w:sz w:val="20"/>
                <w:szCs w:val="20"/>
                <w:color w:val="auto"/>
              </w:rPr>
            </w:pPr>
            <w:r>
              <w:rPr>
                <w:rFonts w:ascii="Arial" w:cs="Arial" w:eastAsia="Arial" w:hAnsi="Arial"/>
                <w:sz w:val="19"/>
                <w:szCs w:val="19"/>
                <w:color w:val="auto"/>
              </w:rPr>
              <w:t>15,579,327(a )</w:t>
            </w:r>
          </w:p>
        </w:tc>
        <w:tc>
          <w:tcPr>
            <w:tcW w:w="300" w:type="dxa"/>
            <w:vAlign w:val="bottom"/>
            <w:shd w:val="clear" w:color="auto" w:fill="E5FFFF"/>
          </w:tcPr>
          <w:p>
            <w:pPr>
              <w:spacing w:after="0"/>
              <w:rPr>
                <w:sz w:val="22"/>
                <w:szCs w:val="22"/>
                <w:color w:val="auto"/>
              </w:rPr>
            </w:pPr>
          </w:p>
        </w:tc>
        <w:tc>
          <w:tcPr>
            <w:tcW w:w="10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10.08%(a )</w:t>
            </w:r>
          </w:p>
        </w:tc>
        <w:tc>
          <w:tcPr>
            <w:tcW w:w="760" w:type="dxa"/>
            <w:vAlign w:val="bottom"/>
            <w:tcBorders>
              <w:right w:val="single" w:sz="8" w:color="auto"/>
            </w:tcBorders>
          </w:tcPr>
          <w:p>
            <w:pPr>
              <w:spacing w:after="0"/>
              <w:rPr>
                <w:sz w:val="22"/>
                <w:szCs w:val="22"/>
                <w:color w:val="auto"/>
              </w:rPr>
            </w:pPr>
          </w:p>
        </w:tc>
      </w:tr>
      <w:tr>
        <w:trPr>
          <w:trHeight w:val="257"/>
        </w:trPr>
        <w:tc>
          <w:tcPr>
            <w:tcW w:w="300" w:type="dxa"/>
            <w:vAlign w:val="bottom"/>
            <w:tcBorders>
              <w:left w:val="single" w:sz="8" w:color="auto"/>
            </w:tcBorders>
          </w:tcPr>
          <w:p>
            <w:pPr>
              <w:spacing w:after="0"/>
              <w:rPr>
                <w:sz w:val="22"/>
                <w:szCs w:val="22"/>
                <w:color w:val="auto"/>
              </w:rPr>
            </w:pPr>
          </w:p>
        </w:tc>
        <w:tc>
          <w:tcPr>
            <w:tcW w:w="68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30 Rockefeller Plaza</w:t>
            </w:r>
          </w:p>
        </w:tc>
        <w:tc>
          <w:tcPr>
            <w:tcW w:w="300" w:type="dxa"/>
            <w:vAlign w:val="bottom"/>
            <w:shd w:val="clear" w:color="auto" w:fill="E5FFFF"/>
          </w:tcPr>
          <w:p>
            <w:pPr>
              <w:spacing w:after="0"/>
              <w:rPr>
                <w:sz w:val="22"/>
                <w:szCs w:val="22"/>
                <w:color w:val="auto"/>
              </w:rPr>
            </w:pPr>
          </w:p>
        </w:tc>
        <w:tc>
          <w:tcPr>
            <w:tcW w:w="18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060" w:type="dxa"/>
            <w:vAlign w:val="bottom"/>
            <w:shd w:val="clear" w:color="auto" w:fill="E5FFFF"/>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r>
      <w:tr>
        <w:trPr>
          <w:trHeight w:val="266"/>
        </w:trPr>
        <w:tc>
          <w:tcPr>
            <w:tcW w:w="300" w:type="dxa"/>
            <w:vAlign w:val="bottom"/>
            <w:tcBorders>
              <w:left w:val="single" w:sz="8" w:color="auto"/>
            </w:tcBorders>
          </w:tcPr>
          <w:p>
            <w:pPr>
              <w:spacing w:after="0"/>
              <w:rPr>
                <w:sz w:val="23"/>
                <w:szCs w:val="23"/>
                <w:color w:val="auto"/>
              </w:rPr>
            </w:pPr>
          </w:p>
        </w:tc>
        <w:tc>
          <w:tcPr>
            <w:tcW w:w="68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New York, NY 10112</w:t>
            </w:r>
          </w:p>
        </w:tc>
        <w:tc>
          <w:tcPr>
            <w:tcW w:w="300" w:type="dxa"/>
            <w:vAlign w:val="bottom"/>
            <w:shd w:val="clear" w:color="auto" w:fill="E5FFFF"/>
          </w:tcPr>
          <w:p>
            <w:pPr>
              <w:spacing w:after="0"/>
              <w:rPr>
                <w:sz w:val="23"/>
                <w:szCs w:val="23"/>
                <w:color w:val="auto"/>
              </w:rPr>
            </w:pPr>
          </w:p>
        </w:tc>
        <w:tc>
          <w:tcPr>
            <w:tcW w:w="18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060" w:type="dxa"/>
            <w:vAlign w:val="bottom"/>
            <w:shd w:val="clear" w:color="auto" w:fill="E5FFFF"/>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r>
      <w:tr>
        <w:trPr>
          <w:trHeight w:val="261"/>
        </w:trPr>
        <w:tc>
          <w:tcPr>
            <w:tcW w:w="300" w:type="dxa"/>
            <w:vAlign w:val="bottom"/>
            <w:tcBorders>
              <w:left w:val="single" w:sz="8" w:color="auto"/>
            </w:tcBorders>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19"/>
                <w:szCs w:val="19"/>
                <w:color w:val="auto"/>
              </w:rPr>
              <w:t>Mackenzie Financial Corporation</w:t>
            </w:r>
          </w:p>
        </w:tc>
        <w:tc>
          <w:tcPr>
            <w:tcW w:w="300" w:type="dxa"/>
            <w:vAlign w:val="bottom"/>
          </w:tcPr>
          <w:p>
            <w:pPr>
              <w:spacing w:after="0"/>
              <w:rPr>
                <w:sz w:val="22"/>
                <w:szCs w:val="22"/>
                <w:color w:val="auto"/>
              </w:rPr>
            </w:pPr>
          </w:p>
        </w:tc>
        <w:tc>
          <w:tcPr>
            <w:tcW w:w="1860" w:type="dxa"/>
            <w:vAlign w:val="bottom"/>
          </w:tcPr>
          <w:p>
            <w:pPr>
              <w:jc w:val="right"/>
              <w:ind w:right="9"/>
              <w:spacing w:after="0"/>
              <w:rPr>
                <w:sz w:val="20"/>
                <w:szCs w:val="20"/>
                <w:color w:val="auto"/>
              </w:rPr>
            </w:pPr>
            <w:r>
              <w:rPr>
                <w:rFonts w:ascii="Arial" w:cs="Arial" w:eastAsia="Arial" w:hAnsi="Arial"/>
                <w:sz w:val="19"/>
                <w:szCs w:val="19"/>
                <w:color w:val="auto"/>
              </w:rPr>
              <w:t>13,739,244(b )</w:t>
            </w:r>
          </w:p>
        </w:tc>
        <w:tc>
          <w:tcPr>
            <w:tcW w:w="300" w:type="dxa"/>
            <w:vAlign w:val="bottom"/>
          </w:tcPr>
          <w:p>
            <w:pPr>
              <w:spacing w:after="0"/>
              <w:rPr>
                <w:sz w:val="22"/>
                <w:szCs w:val="22"/>
                <w:color w:val="auto"/>
              </w:rPr>
            </w:pPr>
          </w:p>
        </w:tc>
        <w:tc>
          <w:tcPr>
            <w:tcW w:w="182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9"/>
                <w:szCs w:val="19"/>
                <w:color w:val="auto"/>
              </w:rPr>
              <w:t>8.90%(b )</w:t>
            </w:r>
          </w:p>
        </w:tc>
      </w:tr>
      <w:tr>
        <w:trPr>
          <w:trHeight w:val="257"/>
        </w:trPr>
        <w:tc>
          <w:tcPr>
            <w:tcW w:w="300" w:type="dxa"/>
            <w:vAlign w:val="bottom"/>
            <w:tcBorders>
              <w:left w:val="single" w:sz="8" w:color="auto"/>
            </w:tcBorders>
          </w:tcPr>
          <w:p>
            <w:pPr>
              <w:spacing w:after="0"/>
              <w:rPr>
                <w:sz w:val="22"/>
                <w:szCs w:val="22"/>
                <w:color w:val="auto"/>
              </w:rPr>
            </w:pPr>
          </w:p>
        </w:tc>
        <w:tc>
          <w:tcPr>
            <w:tcW w:w="6840" w:type="dxa"/>
            <w:vAlign w:val="bottom"/>
          </w:tcPr>
          <w:p>
            <w:pPr>
              <w:ind w:left="200"/>
              <w:spacing w:after="0"/>
              <w:rPr>
                <w:sz w:val="20"/>
                <w:szCs w:val="20"/>
                <w:color w:val="auto"/>
              </w:rPr>
            </w:pPr>
            <w:r>
              <w:rPr>
                <w:rFonts w:ascii="Arial" w:cs="Arial" w:eastAsia="Arial" w:hAnsi="Arial"/>
                <w:sz w:val="19"/>
                <w:szCs w:val="19"/>
                <w:color w:val="auto"/>
              </w:rPr>
              <w:t>150 Bloor Street West, Suite M111</w:t>
            </w:r>
          </w:p>
        </w:tc>
        <w:tc>
          <w:tcPr>
            <w:tcW w:w="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r>
      <w:tr>
        <w:trPr>
          <w:trHeight w:val="261"/>
        </w:trPr>
        <w:tc>
          <w:tcPr>
            <w:tcW w:w="300" w:type="dxa"/>
            <w:vAlign w:val="bottom"/>
            <w:tcBorders>
              <w:left w:val="single" w:sz="8" w:color="auto"/>
            </w:tcBorders>
          </w:tcPr>
          <w:p>
            <w:pPr>
              <w:spacing w:after="0"/>
              <w:rPr>
                <w:sz w:val="22"/>
                <w:szCs w:val="22"/>
                <w:color w:val="auto"/>
              </w:rPr>
            </w:pPr>
          </w:p>
        </w:tc>
        <w:tc>
          <w:tcPr>
            <w:tcW w:w="6840" w:type="dxa"/>
            <w:vAlign w:val="bottom"/>
          </w:tcPr>
          <w:p>
            <w:pPr>
              <w:ind w:left="200"/>
              <w:spacing w:after="0"/>
              <w:rPr>
                <w:sz w:val="20"/>
                <w:szCs w:val="20"/>
                <w:color w:val="auto"/>
              </w:rPr>
            </w:pPr>
            <w:r>
              <w:rPr>
                <w:rFonts w:ascii="Arial" w:cs="Arial" w:eastAsia="Arial" w:hAnsi="Arial"/>
                <w:sz w:val="19"/>
                <w:szCs w:val="19"/>
                <w:color w:val="auto"/>
              </w:rPr>
              <w:t>Toronto, Ontario M5S 3B5</w:t>
            </w:r>
          </w:p>
        </w:tc>
        <w:tc>
          <w:tcPr>
            <w:tcW w:w="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r>
      <w:tr>
        <w:trPr>
          <w:trHeight w:val="265"/>
        </w:trPr>
        <w:tc>
          <w:tcPr>
            <w:tcW w:w="300" w:type="dxa"/>
            <w:vAlign w:val="bottom"/>
            <w:tcBorders>
              <w:left w:val="single" w:sz="8" w:color="auto"/>
            </w:tcBorders>
          </w:tcPr>
          <w:p>
            <w:pPr>
              <w:spacing w:after="0"/>
              <w:rPr>
                <w:sz w:val="23"/>
                <w:szCs w:val="23"/>
                <w:color w:val="auto"/>
              </w:rPr>
            </w:pPr>
          </w:p>
        </w:tc>
        <w:tc>
          <w:tcPr>
            <w:tcW w:w="6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Sasco Capital, Inc.</w:t>
            </w:r>
          </w:p>
        </w:tc>
        <w:tc>
          <w:tcPr>
            <w:tcW w:w="300" w:type="dxa"/>
            <w:vAlign w:val="bottom"/>
            <w:shd w:val="clear" w:color="auto" w:fill="E5FFFF"/>
          </w:tcPr>
          <w:p>
            <w:pPr>
              <w:spacing w:after="0"/>
              <w:rPr>
                <w:sz w:val="23"/>
                <w:szCs w:val="23"/>
                <w:color w:val="auto"/>
              </w:rPr>
            </w:pPr>
          </w:p>
        </w:tc>
        <w:tc>
          <w:tcPr>
            <w:tcW w:w="186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8,901,342(c )</w:t>
            </w:r>
          </w:p>
        </w:tc>
        <w:tc>
          <w:tcPr>
            <w:tcW w:w="300" w:type="dxa"/>
            <w:vAlign w:val="bottom"/>
            <w:shd w:val="clear" w:color="auto" w:fill="E5FFFF"/>
          </w:tcPr>
          <w:p>
            <w:pPr>
              <w:spacing w:after="0"/>
              <w:rPr>
                <w:sz w:val="23"/>
                <w:szCs w:val="23"/>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5.80%(c )</w:t>
            </w:r>
          </w:p>
        </w:tc>
        <w:tc>
          <w:tcPr>
            <w:tcW w:w="760" w:type="dxa"/>
            <w:vAlign w:val="bottom"/>
            <w:tcBorders>
              <w:right w:val="single" w:sz="8" w:color="auto"/>
            </w:tcBorders>
          </w:tcPr>
          <w:p>
            <w:pPr>
              <w:spacing w:after="0"/>
              <w:rPr>
                <w:sz w:val="23"/>
                <w:szCs w:val="23"/>
                <w:color w:val="auto"/>
              </w:rPr>
            </w:pPr>
          </w:p>
        </w:tc>
      </w:tr>
      <w:tr>
        <w:trPr>
          <w:trHeight w:val="257"/>
        </w:trPr>
        <w:tc>
          <w:tcPr>
            <w:tcW w:w="300" w:type="dxa"/>
            <w:vAlign w:val="bottom"/>
            <w:tcBorders>
              <w:left w:val="single" w:sz="8" w:color="auto"/>
            </w:tcBorders>
          </w:tcPr>
          <w:p>
            <w:pPr>
              <w:spacing w:after="0"/>
              <w:rPr>
                <w:sz w:val="22"/>
                <w:szCs w:val="22"/>
                <w:color w:val="auto"/>
              </w:rPr>
            </w:pPr>
          </w:p>
        </w:tc>
        <w:tc>
          <w:tcPr>
            <w:tcW w:w="68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10 Sasco Hill Road</w:t>
            </w:r>
          </w:p>
        </w:tc>
        <w:tc>
          <w:tcPr>
            <w:tcW w:w="300" w:type="dxa"/>
            <w:vAlign w:val="bottom"/>
            <w:shd w:val="clear" w:color="auto" w:fill="E5FFFF"/>
          </w:tcPr>
          <w:p>
            <w:pPr>
              <w:spacing w:after="0"/>
              <w:rPr>
                <w:sz w:val="22"/>
                <w:szCs w:val="22"/>
                <w:color w:val="auto"/>
              </w:rPr>
            </w:pPr>
          </w:p>
        </w:tc>
        <w:tc>
          <w:tcPr>
            <w:tcW w:w="18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060" w:type="dxa"/>
            <w:vAlign w:val="bottom"/>
            <w:shd w:val="clear" w:color="auto" w:fill="E5FFFF"/>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r>
      <w:tr>
        <w:trPr>
          <w:trHeight w:val="266"/>
        </w:trPr>
        <w:tc>
          <w:tcPr>
            <w:tcW w:w="300" w:type="dxa"/>
            <w:vAlign w:val="bottom"/>
            <w:tcBorders>
              <w:left w:val="single" w:sz="8" w:color="auto"/>
            </w:tcBorders>
          </w:tcPr>
          <w:p>
            <w:pPr>
              <w:spacing w:after="0"/>
              <w:rPr>
                <w:sz w:val="23"/>
                <w:szCs w:val="23"/>
                <w:color w:val="auto"/>
              </w:rPr>
            </w:pPr>
          </w:p>
        </w:tc>
        <w:tc>
          <w:tcPr>
            <w:tcW w:w="68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Fairfield, CT 06824</w:t>
            </w:r>
          </w:p>
        </w:tc>
        <w:tc>
          <w:tcPr>
            <w:tcW w:w="300" w:type="dxa"/>
            <w:vAlign w:val="bottom"/>
            <w:shd w:val="clear" w:color="auto" w:fill="E5FFFF"/>
          </w:tcPr>
          <w:p>
            <w:pPr>
              <w:spacing w:after="0"/>
              <w:rPr>
                <w:sz w:val="23"/>
                <w:szCs w:val="23"/>
                <w:color w:val="auto"/>
              </w:rPr>
            </w:pPr>
          </w:p>
        </w:tc>
        <w:tc>
          <w:tcPr>
            <w:tcW w:w="18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060" w:type="dxa"/>
            <w:vAlign w:val="bottom"/>
            <w:shd w:val="clear" w:color="auto" w:fill="E5FFFF"/>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r>
      <w:tr>
        <w:trPr>
          <w:trHeight w:val="261"/>
        </w:trPr>
        <w:tc>
          <w:tcPr>
            <w:tcW w:w="300" w:type="dxa"/>
            <w:vAlign w:val="bottom"/>
            <w:tcBorders>
              <w:left w:val="single" w:sz="8" w:color="auto"/>
            </w:tcBorders>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19"/>
                <w:szCs w:val="19"/>
                <w:color w:val="auto"/>
              </w:rPr>
              <w:t>Harris Associates L.P. and</w:t>
            </w:r>
          </w:p>
        </w:tc>
        <w:tc>
          <w:tcPr>
            <w:tcW w:w="300" w:type="dxa"/>
            <w:vAlign w:val="bottom"/>
          </w:tcPr>
          <w:p>
            <w:pPr>
              <w:spacing w:after="0"/>
              <w:rPr>
                <w:sz w:val="22"/>
                <w:szCs w:val="22"/>
                <w:color w:val="auto"/>
              </w:rPr>
            </w:pPr>
          </w:p>
        </w:tc>
        <w:tc>
          <w:tcPr>
            <w:tcW w:w="1860" w:type="dxa"/>
            <w:vAlign w:val="bottom"/>
          </w:tcPr>
          <w:p>
            <w:pPr>
              <w:jc w:val="right"/>
              <w:ind w:right="9"/>
              <w:spacing w:after="0"/>
              <w:rPr>
                <w:sz w:val="20"/>
                <w:szCs w:val="20"/>
                <w:color w:val="auto"/>
              </w:rPr>
            </w:pPr>
            <w:r>
              <w:rPr>
                <w:rFonts w:ascii="Arial" w:cs="Arial" w:eastAsia="Arial" w:hAnsi="Arial"/>
                <w:sz w:val="19"/>
                <w:szCs w:val="19"/>
                <w:color w:val="auto"/>
              </w:rPr>
              <w:t>8,393,500(d )</w:t>
            </w:r>
          </w:p>
        </w:tc>
        <w:tc>
          <w:tcPr>
            <w:tcW w:w="300" w:type="dxa"/>
            <w:vAlign w:val="bottom"/>
          </w:tcPr>
          <w:p>
            <w:pPr>
              <w:spacing w:after="0"/>
              <w:rPr>
                <w:sz w:val="22"/>
                <w:szCs w:val="22"/>
                <w:color w:val="auto"/>
              </w:rPr>
            </w:pPr>
          </w:p>
        </w:tc>
        <w:tc>
          <w:tcPr>
            <w:tcW w:w="182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9"/>
                <w:szCs w:val="19"/>
                <w:color w:val="auto"/>
              </w:rPr>
              <w:t>5.43%(d )</w:t>
            </w:r>
          </w:p>
        </w:tc>
      </w:tr>
      <w:tr>
        <w:trPr>
          <w:trHeight w:val="257"/>
        </w:trPr>
        <w:tc>
          <w:tcPr>
            <w:tcW w:w="300" w:type="dxa"/>
            <w:vAlign w:val="bottom"/>
            <w:tcBorders>
              <w:left w:val="single" w:sz="8" w:color="auto"/>
            </w:tcBorders>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19"/>
                <w:szCs w:val="19"/>
                <w:color w:val="auto"/>
              </w:rPr>
              <w:t>Harris Associates Inc.</w:t>
            </w:r>
          </w:p>
        </w:tc>
        <w:tc>
          <w:tcPr>
            <w:tcW w:w="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r>
      <w:tr>
        <w:trPr>
          <w:trHeight w:val="257"/>
        </w:trPr>
        <w:tc>
          <w:tcPr>
            <w:tcW w:w="300" w:type="dxa"/>
            <w:vAlign w:val="bottom"/>
            <w:tcBorders>
              <w:left w:val="single" w:sz="8" w:color="auto"/>
            </w:tcBorders>
          </w:tcPr>
          <w:p>
            <w:pPr>
              <w:spacing w:after="0"/>
              <w:rPr>
                <w:sz w:val="22"/>
                <w:szCs w:val="22"/>
                <w:color w:val="auto"/>
              </w:rPr>
            </w:pPr>
          </w:p>
        </w:tc>
        <w:tc>
          <w:tcPr>
            <w:tcW w:w="6840" w:type="dxa"/>
            <w:vAlign w:val="bottom"/>
          </w:tcPr>
          <w:p>
            <w:pPr>
              <w:ind w:left="200"/>
              <w:spacing w:after="0"/>
              <w:rPr>
                <w:sz w:val="20"/>
                <w:szCs w:val="20"/>
                <w:color w:val="auto"/>
              </w:rPr>
            </w:pPr>
            <w:r>
              <w:rPr>
                <w:rFonts w:ascii="Arial" w:cs="Arial" w:eastAsia="Arial" w:hAnsi="Arial"/>
                <w:sz w:val="19"/>
                <w:szCs w:val="19"/>
                <w:color w:val="auto"/>
              </w:rPr>
              <w:t>Two North LaSalle Street, Suite 500</w:t>
            </w:r>
          </w:p>
        </w:tc>
        <w:tc>
          <w:tcPr>
            <w:tcW w:w="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r>
      <w:tr>
        <w:trPr>
          <w:trHeight w:val="261"/>
        </w:trPr>
        <w:tc>
          <w:tcPr>
            <w:tcW w:w="300" w:type="dxa"/>
            <w:vAlign w:val="bottom"/>
            <w:tcBorders>
              <w:left w:val="single" w:sz="8" w:color="auto"/>
            </w:tcBorders>
          </w:tcPr>
          <w:p>
            <w:pPr>
              <w:spacing w:after="0"/>
              <w:rPr>
                <w:sz w:val="22"/>
                <w:szCs w:val="22"/>
                <w:color w:val="auto"/>
              </w:rPr>
            </w:pPr>
          </w:p>
        </w:tc>
        <w:tc>
          <w:tcPr>
            <w:tcW w:w="6840" w:type="dxa"/>
            <w:vAlign w:val="bottom"/>
          </w:tcPr>
          <w:p>
            <w:pPr>
              <w:ind w:left="200"/>
              <w:spacing w:after="0"/>
              <w:rPr>
                <w:sz w:val="20"/>
                <w:szCs w:val="20"/>
                <w:color w:val="auto"/>
              </w:rPr>
            </w:pPr>
            <w:r>
              <w:rPr>
                <w:rFonts w:ascii="Arial" w:cs="Arial" w:eastAsia="Arial" w:hAnsi="Arial"/>
                <w:sz w:val="19"/>
                <w:szCs w:val="19"/>
                <w:color w:val="auto"/>
              </w:rPr>
              <w:t>Chicago, IL 60602-3790</w:t>
            </w:r>
          </w:p>
        </w:tc>
        <w:tc>
          <w:tcPr>
            <w:tcW w:w="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r>
      <w:tr>
        <w:trPr>
          <w:trHeight w:val="265"/>
        </w:trPr>
        <w:tc>
          <w:tcPr>
            <w:tcW w:w="300" w:type="dxa"/>
            <w:vAlign w:val="bottom"/>
            <w:tcBorders>
              <w:left w:val="single" w:sz="8" w:color="auto"/>
            </w:tcBorders>
          </w:tcPr>
          <w:p>
            <w:pPr>
              <w:spacing w:after="0"/>
              <w:rPr>
                <w:sz w:val="23"/>
                <w:szCs w:val="23"/>
                <w:color w:val="auto"/>
              </w:rPr>
            </w:pPr>
          </w:p>
        </w:tc>
        <w:tc>
          <w:tcPr>
            <w:tcW w:w="6840" w:type="dxa"/>
            <w:vAlign w:val="bottom"/>
            <w:shd w:val="clear" w:color="auto" w:fill="E5FFFF"/>
          </w:tcPr>
          <w:p>
            <w:pPr>
              <w:ind w:left="20"/>
              <w:spacing w:after="0"/>
              <w:rPr>
                <w:sz w:val="20"/>
                <w:szCs w:val="20"/>
                <w:color w:val="auto"/>
              </w:rPr>
            </w:pPr>
            <w:r>
              <w:rPr>
                <w:rFonts w:ascii="Arial" w:cs="Arial" w:eastAsia="Arial" w:hAnsi="Arial"/>
                <w:sz w:val="19"/>
                <w:szCs w:val="19"/>
                <w:color w:val="auto"/>
              </w:rPr>
              <w:t>Lord, Abbett &amp; Co. LLC</w:t>
            </w:r>
          </w:p>
        </w:tc>
        <w:tc>
          <w:tcPr>
            <w:tcW w:w="300" w:type="dxa"/>
            <w:vAlign w:val="bottom"/>
            <w:shd w:val="clear" w:color="auto" w:fill="E5FFFF"/>
          </w:tcPr>
          <w:p>
            <w:pPr>
              <w:spacing w:after="0"/>
              <w:rPr>
                <w:sz w:val="23"/>
                <w:szCs w:val="23"/>
                <w:color w:val="auto"/>
              </w:rPr>
            </w:pPr>
          </w:p>
        </w:tc>
        <w:tc>
          <w:tcPr>
            <w:tcW w:w="1860" w:type="dxa"/>
            <w:vAlign w:val="bottom"/>
            <w:shd w:val="clear" w:color="auto" w:fill="E5FFFF"/>
          </w:tcPr>
          <w:p>
            <w:pPr>
              <w:jc w:val="right"/>
              <w:ind w:right="9"/>
              <w:spacing w:after="0"/>
              <w:rPr>
                <w:sz w:val="20"/>
                <w:szCs w:val="20"/>
                <w:color w:val="auto"/>
              </w:rPr>
            </w:pPr>
            <w:r>
              <w:rPr>
                <w:rFonts w:ascii="Arial" w:cs="Arial" w:eastAsia="Arial" w:hAnsi="Arial"/>
                <w:sz w:val="19"/>
                <w:szCs w:val="19"/>
                <w:color w:val="auto"/>
              </w:rPr>
              <w:t>8,228,326(e )</w:t>
            </w:r>
          </w:p>
        </w:tc>
        <w:tc>
          <w:tcPr>
            <w:tcW w:w="300" w:type="dxa"/>
            <w:vAlign w:val="bottom"/>
            <w:shd w:val="clear" w:color="auto" w:fill="E5FFFF"/>
          </w:tcPr>
          <w:p>
            <w:pPr>
              <w:spacing w:after="0"/>
              <w:rPr>
                <w:sz w:val="23"/>
                <w:szCs w:val="23"/>
                <w:color w:val="auto"/>
              </w:rPr>
            </w:pPr>
          </w:p>
        </w:tc>
        <w:tc>
          <w:tcPr>
            <w:tcW w:w="10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5.33%(e )</w:t>
            </w:r>
          </w:p>
        </w:tc>
        <w:tc>
          <w:tcPr>
            <w:tcW w:w="760" w:type="dxa"/>
            <w:vAlign w:val="bottom"/>
            <w:tcBorders>
              <w:right w:val="single" w:sz="8" w:color="auto"/>
            </w:tcBorders>
          </w:tcPr>
          <w:p>
            <w:pPr>
              <w:spacing w:after="0"/>
              <w:rPr>
                <w:sz w:val="23"/>
                <w:szCs w:val="23"/>
                <w:color w:val="auto"/>
              </w:rPr>
            </w:pPr>
          </w:p>
        </w:tc>
      </w:tr>
      <w:tr>
        <w:trPr>
          <w:trHeight w:val="257"/>
        </w:trPr>
        <w:tc>
          <w:tcPr>
            <w:tcW w:w="300" w:type="dxa"/>
            <w:vAlign w:val="bottom"/>
            <w:tcBorders>
              <w:left w:val="single" w:sz="8" w:color="auto"/>
            </w:tcBorders>
          </w:tcPr>
          <w:p>
            <w:pPr>
              <w:spacing w:after="0"/>
              <w:rPr>
                <w:sz w:val="22"/>
                <w:szCs w:val="22"/>
                <w:color w:val="auto"/>
              </w:rPr>
            </w:pPr>
          </w:p>
        </w:tc>
        <w:tc>
          <w:tcPr>
            <w:tcW w:w="68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90 Hudson Street</w:t>
            </w:r>
          </w:p>
        </w:tc>
        <w:tc>
          <w:tcPr>
            <w:tcW w:w="300" w:type="dxa"/>
            <w:vAlign w:val="bottom"/>
            <w:shd w:val="clear" w:color="auto" w:fill="E5FFFF"/>
          </w:tcPr>
          <w:p>
            <w:pPr>
              <w:spacing w:after="0"/>
              <w:rPr>
                <w:sz w:val="22"/>
                <w:szCs w:val="22"/>
                <w:color w:val="auto"/>
              </w:rPr>
            </w:pPr>
          </w:p>
        </w:tc>
        <w:tc>
          <w:tcPr>
            <w:tcW w:w="186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1060" w:type="dxa"/>
            <w:vAlign w:val="bottom"/>
            <w:shd w:val="clear" w:color="auto" w:fill="E5FFFF"/>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r>
      <w:tr>
        <w:trPr>
          <w:trHeight w:val="266"/>
        </w:trPr>
        <w:tc>
          <w:tcPr>
            <w:tcW w:w="300" w:type="dxa"/>
            <w:vAlign w:val="bottom"/>
            <w:tcBorders>
              <w:left w:val="single" w:sz="8" w:color="auto"/>
            </w:tcBorders>
          </w:tcPr>
          <w:p>
            <w:pPr>
              <w:spacing w:after="0"/>
              <w:rPr>
                <w:sz w:val="23"/>
                <w:szCs w:val="23"/>
                <w:color w:val="auto"/>
              </w:rPr>
            </w:pPr>
          </w:p>
        </w:tc>
        <w:tc>
          <w:tcPr>
            <w:tcW w:w="6840" w:type="dxa"/>
            <w:vAlign w:val="bottom"/>
            <w:shd w:val="clear" w:color="auto" w:fill="E5FFFF"/>
          </w:tcPr>
          <w:p>
            <w:pPr>
              <w:ind w:left="200"/>
              <w:spacing w:after="0"/>
              <w:rPr>
                <w:sz w:val="20"/>
                <w:szCs w:val="20"/>
                <w:color w:val="auto"/>
              </w:rPr>
            </w:pPr>
            <w:r>
              <w:rPr>
                <w:rFonts w:ascii="Arial" w:cs="Arial" w:eastAsia="Arial" w:hAnsi="Arial"/>
                <w:sz w:val="19"/>
                <w:szCs w:val="19"/>
                <w:color w:val="auto"/>
              </w:rPr>
              <w:t>Jersey City, NJ 07302</w:t>
            </w:r>
          </w:p>
        </w:tc>
        <w:tc>
          <w:tcPr>
            <w:tcW w:w="300" w:type="dxa"/>
            <w:vAlign w:val="bottom"/>
            <w:shd w:val="clear" w:color="auto" w:fill="E5FFFF"/>
          </w:tcPr>
          <w:p>
            <w:pPr>
              <w:spacing w:after="0"/>
              <w:rPr>
                <w:sz w:val="23"/>
                <w:szCs w:val="23"/>
                <w:color w:val="auto"/>
              </w:rPr>
            </w:pPr>
          </w:p>
        </w:tc>
        <w:tc>
          <w:tcPr>
            <w:tcW w:w="1860" w:type="dxa"/>
            <w:vAlign w:val="bottom"/>
            <w:shd w:val="clear" w:color="auto" w:fill="E5FFFF"/>
          </w:tcPr>
          <w:p>
            <w:pPr>
              <w:spacing w:after="0"/>
              <w:rPr>
                <w:sz w:val="23"/>
                <w:szCs w:val="23"/>
                <w:color w:val="auto"/>
              </w:rPr>
            </w:pPr>
          </w:p>
        </w:tc>
        <w:tc>
          <w:tcPr>
            <w:tcW w:w="300" w:type="dxa"/>
            <w:vAlign w:val="bottom"/>
            <w:shd w:val="clear" w:color="auto" w:fill="E5FFFF"/>
          </w:tcPr>
          <w:p>
            <w:pPr>
              <w:spacing w:after="0"/>
              <w:rPr>
                <w:sz w:val="23"/>
                <w:szCs w:val="23"/>
                <w:color w:val="auto"/>
              </w:rPr>
            </w:pPr>
          </w:p>
        </w:tc>
        <w:tc>
          <w:tcPr>
            <w:tcW w:w="1060" w:type="dxa"/>
            <w:vAlign w:val="bottom"/>
            <w:shd w:val="clear" w:color="auto" w:fill="E5FFFF"/>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r>
      <w:tr>
        <w:trPr>
          <w:trHeight w:val="261"/>
        </w:trPr>
        <w:tc>
          <w:tcPr>
            <w:tcW w:w="300" w:type="dxa"/>
            <w:vAlign w:val="bottom"/>
            <w:tcBorders>
              <w:left w:val="single" w:sz="8" w:color="auto"/>
            </w:tcBorders>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19"/>
                <w:szCs w:val="19"/>
                <w:color w:val="auto"/>
              </w:rPr>
              <w:t>First Pacific Advisors, LLC,</w:t>
            </w:r>
          </w:p>
        </w:tc>
        <w:tc>
          <w:tcPr>
            <w:tcW w:w="300" w:type="dxa"/>
            <w:vAlign w:val="bottom"/>
          </w:tcPr>
          <w:p>
            <w:pPr>
              <w:spacing w:after="0"/>
              <w:rPr>
                <w:sz w:val="22"/>
                <w:szCs w:val="22"/>
                <w:color w:val="auto"/>
              </w:rPr>
            </w:pPr>
          </w:p>
        </w:tc>
        <w:tc>
          <w:tcPr>
            <w:tcW w:w="1860" w:type="dxa"/>
            <w:vAlign w:val="bottom"/>
          </w:tcPr>
          <w:p>
            <w:pPr>
              <w:jc w:val="right"/>
              <w:ind w:right="9"/>
              <w:spacing w:after="0"/>
              <w:rPr>
                <w:sz w:val="20"/>
                <w:szCs w:val="20"/>
                <w:color w:val="auto"/>
              </w:rPr>
            </w:pPr>
            <w:r>
              <w:rPr>
                <w:rFonts w:ascii="Arial" w:cs="Arial" w:eastAsia="Arial" w:hAnsi="Arial"/>
                <w:sz w:val="19"/>
                <w:szCs w:val="19"/>
                <w:color w:val="auto"/>
              </w:rPr>
              <w:t>7,787,100(f )</w:t>
            </w:r>
          </w:p>
        </w:tc>
        <w:tc>
          <w:tcPr>
            <w:tcW w:w="300" w:type="dxa"/>
            <w:vAlign w:val="bottom"/>
          </w:tcPr>
          <w:p>
            <w:pPr>
              <w:spacing w:after="0"/>
              <w:rPr>
                <w:sz w:val="22"/>
                <w:szCs w:val="22"/>
                <w:color w:val="auto"/>
              </w:rPr>
            </w:pPr>
          </w:p>
        </w:tc>
        <w:tc>
          <w:tcPr>
            <w:tcW w:w="1820" w:type="dxa"/>
            <w:vAlign w:val="bottom"/>
            <w:tcBorders>
              <w:right w:val="single" w:sz="8" w:color="auto"/>
            </w:tcBorders>
            <w:gridSpan w:val="2"/>
          </w:tcPr>
          <w:p>
            <w:pPr>
              <w:jc w:val="right"/>
              <w:ind w:right="820"/>
              <w:spacing w:after="0"/>
              <w:rPr>
                <w:sz w:val="20"/>
                <w:szCs w:val="20"/>
                <w:color w:val="auto"/>
              </w:rPr>
            </w:pPr>
            <w:r>
              <w:rPr>
                <w:rFonts w:ascii="Arial" w:cs="Arial" w:eastAsia="Arial" w:hAnsi="Arial"/>
                <w:sz w:val="19"/>
                <w:szCs w:val="19"/>
                <w:color w:val="auto"/>
              </w:rPr>
              <w:t>5.00%(f )</w:t>
            </w:r>
          </w:p>
        </w:tc>
      </w:tr>
      <w:tr>
        <w:trPr>
          <w:trHeight w:val="257"/>
        </w:trPr>
        <w:tc>
          <w:tcPr>
            <w:tcW w:w="300" w:type="dxa"/>
            <w:vAlign w:val="bottom"/>
            <w:tcBorders>
              <w:left w:val="single" w:sz="8" w:color="auto"/>
            </w:tcBorders>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19"/>
                <w:szCs w:val="19"/>
                <w:color w:val="auto"/>
              </w:rPr>
              <w:t>Robert L. Rodriguez, and J. Richard Atwood</w:t>
            </w:r>
          </w:p>
        </w:tc>
        <w:tc>
          <w:tcPr>
            <w:tcW w:w="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r>
      <w:tr>
        <w:trPr>
          <w:trHeight w:val="257"/>
        </w:trPr>
        <w:tc>
          <w:tcPr>
            <w:tcW w:w="300" w:type="dxa"/>
            <w:vAlign w:val="bottom"/>
            <w:tcBorders>
              <w:left w:val="single" w:sz="8" w:color="auto"/>
            </w:tcBorders>
          </w:tcPr>
          <w:p>
            <w:pPr>
              <w:spacing w:after="0"/>
              <w:rPr>
                <w:sz w:val="22"/>
                <w:szCs w:val="22"/>
                <w:color w:val="auto"/>
              </w:rPr>
            </w:pPr>
          </w:p>
        </w:tc>
        <w:tc>
          <w:tcPr>
            <w:tcW w:w="6840" w:type="dxa"/>
            <w:vAlign w:val="bottom"/>
          </w:tcPr>
          <w:p>
            <w:pPr>
              <w:ind w:left="200"/>
              <w:spacing w:after="0"/>
              <w:rPr>
                <w:sz w:val="20"/>
                <w:szCs w:val="20"/>
                <w:color w:val="auto"/>
              </w:rPr>
            </w:pPr>
            <w:r>
              <w:rPr>
                <w:rFonts w:ascii="Arial" w:cs="Arial" w:eastAsia="Arial" w:hAnsi="Arial"/>
                <w:sz w:val="19"/>
                <w:szCs w:val="19"/>
                <w:color w:val="auto"/>
              </w:rPr>
              <w:t>11400 West Olympic Blvd., Suite 1200</w:t>
            </w:r>
          </w:p>
        </w:tc>
        <w:tc>
          <w:tcPr>
            <w:tcW w:w="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r>
      <w:tr>
        <w:trPr>
          <w:trHeight w:val="263"/>
        </w:trPr>
        <w:tc>
          <w:tcPr>
            <w:tcW w:w="300" w:type="dxa"/>
            <w:vAlign w:val="bottom"/>
            <w:tcBorders>
              <w:left w:val="single" w:sz="8" w:color="auto"/>
              <w:bottom w:val="single" w:sz="8" w:color="auto"/>
            </w:tcBorders>
          </w:tcPr>
          <w:p>
            <w:pPr>
              <w:spacing w:after="0"/>
              <w:rPr>
                <w:sz w:val="22"/>
                <w:szCs w:val="22"/>
                <w:color w:val="auto"/>
              </w:rPr>
            </w:pPr>
          </w:p>
        </w:tc>
        <w:tc>
          <w:tcPr>
            <w:tcW w:w="6840" w:type="dxa"/>
            <w:vAlign w:val="bottom"/>
            <w:tcBorders>
              <w:bottom w:val="single" w:sz="8" w:color="auto"/>
            </w:tcBorders>
          </w:tcPr>
          <w:p>
            <w:pPr>
              <w:ind w:left="200"/>
              <w:spacing w:after="0"/>
              <w:rPr>
                <w:sz w:val="20"/>
                <w:szCs w:val="20"/>
                <w:color w:val="auto"/>
              </w:rPr>
            </w:pPr>
            <w:r>
              <w:rPr>
                <w:rFonts w:ascii="Arial" w:cs="Arial" w:eastAsia="Arial" w:hAnsi="Arial"/>
                <w:sz w:val="19"/>
                <w:szCs w:val="19"/>
                <w:color w:val="auto"/>
              </w:rPr>
              <w:t>Los Angeles, CA 90064</w:t>
            </w:r>
          </w:p>
        </w:tc>
        <w:tc>
          <w:tcPr>
            <w:tcW w:w="3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Persons Owning More than Five Percent of the Company’s Stock</w:t>
      </w:r>
    </w:p>
    <w:p>
      <w:pPr>
        <w:spacing w:after="0" w:line="173" w:lineRule="exact"/>
        <w:rPr>
          <w:sz w:val="20"/>
          <w:szCs w:val="20"/>
          <w:color w:val="auto"/>
        </w:rPr>
      </w:pPr>
    </w:p>
    <w:p>
      <w:pPr>
        <w:ind w:left="440" w:right="140" w:hanging="309"/>
        <w:spacing w:after="0" w:line="267" w:lineRule="auto"/>
        <w:tabs>
          <w:tab w:leader="none" w:pos="4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2007 according to an amended Schedule 13G filed with the SEC. As reported in this schedule, Lazard Asset Management LLC, an investment adviser, holds sole voting power with respect to 8,993,744 shares and sole dispositive power with respect to 15,579,327 shares.</w:t>
      </w:r>
    </w:p>
    <w:p>
      <w:pPr>
        <w:spacing w:after="0" w:line="81" w:lineRule="exact"/>
        <w:rPr>
          <w:rFonts w:ascii="Arial" w:cs="Arial" w:eastAsia="Arial" w:hAnsi="Arial"/>
          <w:sz w:val="19"/>
          <w:szCs w:val="19"/>
          <w:color w:val="auto"/>
        </w:rPr>
      </w:pPr>
    </w:p>
    <w:p>
      <w:pPr>
        <w:ind w:left="440" w:right="340" w:hanging="320"/>
        <w:spacing w:after="0" w:line="344"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Reflects shares beneficially owned as of December 31, 2007 according to Schedule 13G filed with the SEC. As reported in this schedule, Mackenzie Financial Corporation, an investment adviser, holds sole voting and dispositive power with respect to 13,739,244 shares.</w:t>
      </w:r>
    </w:p>
    <w:p>
      <w:pPr>
        <w:spacing w:after="0" w:line="20" w:lineRule="exact"/>
        <w:rPr>
          <w:rFonts w:ascii="Arial" w:cs="Arial" w:eastAsia="Arial" w:hAnsi="Arial"/>
          <w:sz w:val="17"/>
          <w:szCs w:val="17"/>
          <w:color w:val="auto"/>
        </w:rPr>
      </w:pPr>
    </w:p>
    <w:p>
      <w:pPr>
        <w:ind w:left="440" w:right="140" w:hanging="309"/>
        <w:spacing w:after="0" w:line="267" w:lineRule="auto"/>
        <w:tabs>
          <w:tab w:leader="none" w:pos="4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2007 according to Schedule 13G filed with the SEC. As reported in this schedule, Sasco Capital, Inc., an investment adviser, holds sole voting power with respect to 4,463,350 shares and sole dispositive power with respect to 8,901,342 shares.</w:t>
      </w:r>
    </w:p>
    <w:p>
      <w:pPr>
        <w:spacing w:after="0" w:line="81" w:lineRule="exact"/>
        <w:rPr>
          <w:rFonts w:ascii="Arial" w:cs="Arial" w:eastAsia="Arial" w:hAnsi="Arial"/>
          <w:sz w:val="19"/>
          <w:szCs w:val="19"/>
          <w:color w:val="auto"/>
        </w:rPr>
      </w:pPr>
    </w:p>
    <w:p>
      <w:pPr>
        <w:ind w:left="440" w:right="60" w:hanging="320"/>
        <w:spacing w:after="0" w:line="259" w:lineRule="auto"/>
        <w:tabs>
          <w:tab w:leader="none" w:pos="4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2007, according to Schedule 13G filed with the SEC by Harris Associates L.P. (“Harris”) and Harris Associates Inc. As reported in this schedule, Harris, an investment adviser, holds shared voting power with respect to 8,393,500 shares, sole dispositive power with respect to 1,293,500 shares, and shared dispositive power with respect to 7,100,000 shares. Harris also serves as investment adviser to the Harris Associates Investment Trust (the “Trust”). The Trust owns 7,100,000 shares, which are included as shares over which Harris has shared voting and dispositive power.</w:t>
      </w:r>
    </w:p>
    <w:p>
      <w:pPr>
        <w:spacing w:after="0" w:line="90" w:lineRule="exact"/>
        <w:rPr>
          <w:rFonts w:ascii="Arial" w:cs="Arial" w:eastAsia="Arial" w:hAnsi="Arial"/>
          <w:sz w:val="19"/>
          <w:szCs w:val="19"/>
          <w:color w:val="auto"/>
        </w:rPr>
      </w:pPr>
    </w:p>
    <w:p>
      <w:pPr>
        <w:ind w:left="440" w:right="600" w:hanging="309"/>
        <w:spacing w:after="0" w:line="283" w:lineRule="auto"/>
        <w:tabs>
          <w:tab w:leader="none" w:pos="4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2007, according to Amendment No. 5 to Schedule 13G filed with the SEC. As reported in this schedule, Lord, Abbett &amp; Co. LLC, an</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 w:name="page12"/>
    <w:bookmarkEnd w:id="11"/>
    <w:p>
      <w:pPr>
        <w:ind w:left="440"/>
        <w:spacing w:after="0"/>
        <w:rPr>
          <w:sz w:val="20"/>
          <w:szCs w:val="20"/>
          <w:color w:val="auto"/>
        </w:rPr>
      </w:pPr>
      <w:r>
        <w:rPr>
          <w:rFonts w:ascii="Arial" w:cs="Arial" w:eastAsia="Arial" w:hAnsi="Arial"/>
          <w:sz w:val="17"/>
          <w:szCs w:val="17"/>
          <w:color w:val="auto"/>
        </w:rPr>
        <w:t>investment adviser, holds sole voting power with respect to 7,845,626 shares and sole dispositive power with respect to 8,228,326 shares.</w:t>
      </w:r>
    </w:p>
    <w:p>
      <w:pPr>
        <w:spacing w:after="0" w:line="156" w:lineRule="exact"/>
        <w:rPr>
          <w:sz w:val="20"/>
          <w:szCs w:val="20"/>
          <w:color w:val="auto"/>
        </w:rPr>
      </w:pPr>
    </w:p>
    <w:p>
      <w:pPr>
        <w:ind w:left="440" w:hanging="288"/>
        <w:spacing w:after="0" w:line="262" w:lineRule="auto"/>
        <w:tabs>
          <w:tab w:leader="none" w:pos="4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Reflects shares beneficially owned as of December 31, 2007, according to Schedule 13G filed with the SEC on behalf of First Pacific Advisors, LLC (“FPA”), an investment advisor, Robert L. Rodriguez and J. Richard Atwood, Managing Members of FPA. As reported in this schedule, FPA, Mr. Rodriguez and Mr. Atwood hold shared voting power with respect to 2,699,400 shares and shared dispositive power with respect to 7,787,100 shares.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16(a) Beneficial Ownership Reporting Compliance</w:t>
      </w:r>
    </w:p>
    <w:p>
      <w:pPr>
        <w:spacing w:after="0" w:line="125" w:lineRule="exact"/>
        <w:rPr>
          <w:sz w:val="20"/>
          <w:szCs w:val="20"/>
          <w:color w:val="auto"/>
        </w:rPr>
      </w:pPr>
    </w:p>
    <w:p>
      <w:pPr>
        <w:ind w:right="180" w:firstLine="357"/>
        <w:spacing w:after="0" w:line="313" w:lineRule="auto"/>
        <w:rPr>
          <w:sz w:val="20"/>
          <w:szCs w:val="20"/>
          <w:color w:val="auto"/>
        </w:rPr>
      </w:pPr>
      <w:r>
        <w:rPr>
          <w:rFonts w:ascii="Arial" w:cs="Arial" w:eastAsia="Arial" w:hAnsi="Arial"/>
          <w:sz w:val="17"/>
          <w:szCs w:val="17"/>
          <w:color w:val="auto"/>
        </w:rPr>
        <w:t>Section 16(a) of the Securities Exchange Act of 1934 requires that our directors and executive officers file with the Securities and Exchange Commission reports of ownership and changes in ownership of Foot Locker’s Common Stock. Based on our records and other information, we believe that during the 2007 fiscal year, the directors and executive officers complied with all applicable SEC filing requirements.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CORPORATE GOVERNANCE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Governance Guidelines</w:t>
      </w:r>
    </w:p>
    <w:p>
      <w:pPr>
        <w:spacing w:after="0" w:line="125" w:lineRule="exact"/>
        <w:rPr>
          <w:sz w:val="20"/>
          <w:szCs w:val="20"/>
          <w:color w:val="auto"/>
        </w:rPr>
      </w:pPr>
    </w:p>
    <w:p>
      <w:pPr>
        <w:jc w:val="both"/>
        <w:ind w:right="180" w:firstLine="357"/>
        <w:spacing w:after="0" w:line="262" w:lineRule="auto"/>
        <w:rPr>
          <w:sz w:val="20"/>
          <w:szCs w:val="20"/>
          <w:color w:val="auto"/>
        </w:rPr>
      </w:pPr>
      <w:r>
        <w:rPr>
          <w:rFonts w:ascii="Arial" w:cs="Arial" w:eastAsia="Arial" w:hAnsi="Arial"/>
          <w:sz w:val="19"/>
          <w:szCs w:val="19"/>
          <w:color w:val="auto"/>
        </w:rPr>
        <w:t xml:space="preserve">The Board of Directors has adopted Corporate Governance Guidelines. The Board periodically reviews the guidelines and may revise them when appropriate. The Corporate Governance Guidelines are available on the corporate governance section of the Company’s corporate web site at </w:t>
      </w:r>
      <w:r>
        <w:rPr>
          <w:rFonts w:ascii="Arial" w:cs="Arial" w:eastAsia="Arial" w:hAnsi="Arial"/>
          <w:sz w:val="19"/>
          <w:szCs w:val="19"/>
          <w:i w:val="1"/>
          <w:iCs w:val="1"/>
          <w:u w:val="single" w:color="auto"/>
          <w:color w:val="auto"/>
        </w:rPr>
        <w:t>http://www.footlocker-inc.com/IR_index.htm</w:t>
      </w:r>
      <w:r>
        <w:rPr>
          <w:rFonts w:ascii="Arial" w:cs="Arial" w:eastAsia="Arial" w:hAnsi="Arial"/>
          <w:sz w:val="19"/>
          <w:szCs w:val="19"/>
          <w:color w:val="auto"/>
        </w:rPr>
        <w:t>. You may also obtain a printed copy of the guidelines by writing to the Corporate Secretary at the Company’s headquarters.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Policy on Voting for Directors</w:t>
      </w:r>
    </w:p>
    <w:p>
      <w:pPr>
        <w:spacing w:after="0" w:line="125" w:lineRule="exact"/>
        <w:rPr>
          <w:sz w:val="20"/>
          <w:szCs w:val="20"/>
          <w:color w:val="auto"/>
        </w:rPr>
      </w:pPr>
    </w:p>
    <w:p>
      <w:pPr>
        <w:ind w:right="100" w:firstLine="357"/>
        <w:spacing w:after="0" w:line="270" w:lineRule="auto"/>
        <w:rPr>
          <w:sz w:val="20"/>
          <w:szCs w:val="20"/>
          <w:color w:val="auto"/>
        </w:rPr>
      </w:pPr>
      <w:r>
        <w:rPr>
          <w:rFonts w:ascii="Arial" w:cs="Arial" w:eastAsia="Arial" w:hAnsi="Arial"/>
          <w:sz w:val="18"/>
          <w:szCs w:val="18"/>
          <w:color w:val="auto"/>
        </w:rPr>
        <w:t>Our Corporate Governance Guidelines provide that if a nominee for director in an uncontested election receives more votes “withheld” from his or her election than votes “for” election (a “Majority Withheld Vote”), then the director must offer his or her resignation for consideration by the Nominating and Corporate Governance Committee (the “Nominating Committee”). The Nominating Committee will evaluate the resignation, weighing the best interests of the Company and its shareholders, and make a recommendation to the Board of Directors on the action to be taken. For example, the Nominating Committee may recommend (i) accepting the resignation, (ii) maintaining the director but addressing what the Nominating Committee believes to be the underlying cause of the withheld votes, (iii) resolving that the director will not be re-nominated in the future for election, or (iv) rejecting the resignation. When making its determination, the Nominating Committee will consider all factors that it deems relevant, including (i) any stated reasons why shareholders withheld votes from the director, (ii) any alternatives for curing the underlying cause of the withheld votes, (iii) the director’s tenure, (iv) the director’s qualifications, (v) the director’s past and expected future contributions to the Board and to the Company, and (vi) the overall composition of the Board, including whether accepting the resignation would cause the Company to fail to meet any applicable Securities and Exchange Commission or New York Stock Exchange requirements. We will promptly disclose the Board’s decision on whether or not to accept the director’s resignation, including, if applicable, the reasons for rejecting the offered resignation.</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Ownership Guidelines</w:t>
      </w:r>
    </w:p>
    <w:p>
      <w:pPr>
        <w:spacing w:after="0" w:line="112"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The Board of Directors has adopted Stock Ownership Guidelines. These guidelines cover the Board of Directors, the Chief Executive Officer, and Other Principal Officers, as follows:</w:t>
      </w:r>
    </w:p>
    <w:p>
      <w:pPr>
        <w:spacing w:after="0" w:line="106" w:lineRule="exact"/>
        <w:rPr>
          <w:sz w:val="20"/>
          <w:szCs w:val="20"/>
          <w:color w:val="auto"/>
        </w:rPr>
      </w:pPr>
    </w:p>
    <w:p>
      <w:pPr>
        <w:ind w:left="540" w:right="120" w:hanging="158"/>
        <w:spacing w:after="0" w:line="283"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b w:val="1"/>
          <w:bCs w:val="1"/>
          <w:i w:val="1"/>
          <w:iCs w:val="1"/>
          <w:color w:val="auto"/>
        </w:rPr>
        <w:t>Board of Directors</w:t>
      </w:r>
      <w:r>
        <w:rPr>
          <w:rFonts w:ascii="Arial" w:cs="Arial" w:eastAsia="Arial" w:hAnsi="Arial"/>
          <w:sz w:val="19"/>
          <w:szCs w:val="19"/>
          <w:color w:val="auto"/>
        </w:rPr>
        <w:t>. Each non-employee director must beneficially own shares of our Common Stock having a value of at least three times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annual retainer fee paid to the non-employee directors.</w:t>
      </w:r>
    </w:p>
    <w:p>
      <w:pPr>
        <w:spacing w:after="0" w:line="65" w:lineRule="exact"/>
        <w:rPr>
          <w:rFonts w:ascii="Arial" w:cs="Arial" w:eastAsia="Arial" w:hAnsi="Arial"/>
          <w:sz w:val="19"/>
          <w:szCs w:val="19"/>
          <w:color w:val="auto"/>
        </w:rPr>
      </w:pPr>
    </w:p>
    <w:p>
      <w:pPr>
        <w:ind w:left="540" w:right="20" w:hanging="158"/>
        <w:spacing w:after="0" w:line="283" w:lineRule="auto"/>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b w:val="1"/>
          <w:bCs w:val="1"/>
          <w:i w:val="1"/>
          <w:iCs w:val="1"/>
          <w:color w:val="auto"/>
        </w:rPr>
        <w:t>Chief Executive Officer</w:t>
      </w:r>
      <w:r>
        <w:rPr>
          <w:rFonts w:ascii="Arial" w:cs="Arial" w:eastAsia="Arial" w:hAnsi="Arial"/>
          <w:sz w:val="19"/>
          <w:szCs w:val="19"/>
          <w:color w:val="auto"/>
        </w:rPr>
        <w:t>. The CEO must beneficially own shares of our Common Stock having a value of at least four times his annual base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salary.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2" w:name="page13"/>
    <w:bookmarkEnd w:id="12"/>
    <w:p>
      <w:pPr>
        <w:ind w:left="540" w:right="80" w:hanging="158"/>
        <w:spacing w:after="0" w:line="267"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b w:val="1"/>
          <w:bCs w:val="1"/>
          <w:i w:val="1"/>
          <w:iCs w:val="1"/>
          <w:color w:val="auto"/>
        </w:rPr>
        <w:t>Other Principal Officers</w:t>
      </w:r>
      <w:r>
        <w:rPr>
          <w:rFonts w:ascii="Arial" w:cs="Arial" w:eastAsia="Arial" w:hAnsi="Arial"/>
          <w:sz w:val="19"/>
          <w:szCs w:val="19"/>
          <w:color w:val="auto"/>
        </w:rPr>
        <w:t>. Other Principal Officers of the Company must beneficially own shares of our Common Stock having a value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at least two times their individual annual base salaries. The category of Other Principal Officers includes all corporate officers at the senior vice president level or higher and the chief executive officers of our operating divisions.</w:t>
      </w:r>
    </w:p>
    <w:p>
      <w:pPr>
        <w:spacing w:after="0" w:line="284" w:lineRule="exact"/>
        <w:rPr>
          <w:sz w:val="20"/>
          <w:szCs w:val="20"/>
          <w:color w:val="auto"/>
        </w:rPr>
      </w:pPr>
    </w:p>
    <w:p>
      <w:pPr>
        <w:ind w:right="700" w:firstLine="357"/>
        <w:spacing w:after="0" w:line="283" w:lineRule="auto"/>
        <w:rPr>
          <w:sz w:val="20"/>
          <w:szCs w:val="20"/>
          <w:color w:val="auto"/>
        </w:rPr>
      </w:pPr>
      <w:r>
        <w:rPr>
          <w:rFonts w:ascii="Arial" w:cs="Arial" w:eastAsia="Arial" w:hAnsi="Arial"/>
          <w:sz w:val="19"/>
          <w:szCs w:val="19"/>
          <w:color w:val="auto"/>
        </w:rPr>
        <w:t>Shares of restricted stock, restricted stock units, and deferred stock units are counted towards beneficial ownership. Stock options are disregarded in calculating beneficial ownership.</w:t>
      </w:r>
    </w:p>
    <w:p>
      <w:pPr>
        <w:spacing w:after="0" w:line="52" w:lineRule="exact"/>
        <w:rPr>
          <w:sz w:val="20"/>
          <w:szCs w:val="20"/>
          <w:color w:val="auto"/>
        </w:rPr>
      </w:pPr>
    </w:p>
    <w:p>
      <w:pPr>
        <w:jc w:val="both"/>
        <w:ind w:right="340" w:firstLine="357"/>
        <w:spacing w:after="0" w:line="289" w:lineRule="auto"/>
        <w:rPr>
          <w:sz w:val="20"/>
          <w:szCs w:val="20"/>
          <w:color w:val="auto"/>
        </w:rPr>
      </w:pPr>
      <w:r>
        <w:rPr>
          <w:rFonts w:ascii="Arial" w:cs="Arial" w:eastAsia="Arial" w:hAnsi="Arial"/>
          <w:sz w:val="18"/>
          <w:szCs w:val="18"/>
          <w:color w:val="auto"/>
        </w:rPr>
        <w:t>The target date for full compliance with these guidelines is February 2011, which is five years after the effective date of these guidelines. Non-employee directors who are elected to the Board after February 2006, as well as employees who are elected or appointed after this date to positions covered by these guidelines, must be in compliance within five years after their initial election or appointment.</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Committee Charters</w:t>
      </w:r>
    </w:p>
    <w:p>
      <w:pPr>
        <w:spacing w:after="0" w:line="125" w:lineRule="exact"/>
        <w:rPr>
          <w:sz w:val="20"/>
          <w:szCs w:val="20"/>
          <w:color w:val="auto"/>
        </w:rPr>
      </w:pPr>
    </w:p>
    <w:p>
      <w:pPr>
        <w:ind w:firstLine="357"/>
        <w:spacing w:after="0" w:line="302" w:lineRule="auto"/>
        <w:rPr>
          <w:sz w:val="20"/>
          <w:szCs w:val="20"/>
          <w:color w:val="auto"/>
        </w:rPr>
      </w:pPr>
      <w:r>
        <w:rPr>
          <w:rFonts w:ascii="Arial" w:cs="Arial" w:eastAsia="Arial" w:hAnsi="Arial"/>
          <w:sz w:val="17"/>
          <w:szCs w:val="17"/>
          <w:color w:val="auto"/>
        </w:rPr>
        <w:t xml:space="preserve">The Board of Directors has adopted charters for the Audit Committee, the Compensation and Management Resources Committee, the Finance and Strategic Planning Committee, the Nominating and Corporate Governance Committee, and the Retirement Plan Committee. Copies of the charters for these committees are available on the corporate governance section of the Company’s corporate web site at </w:t>
      </w:r>
      <w:r>
        <w:rPr>
          <w:rFonts w:ascii="Arial" w:cs="Arial" w:eastAsia="Arial" w:hAnsi="Arial"/>
          <w:sz w:val="17"/>
          <w:szCs w:val="17"/>
          <w:i w:val="1"/>
          <w:iCs w:val="1"/>
          <w:u w:val="single" w:color="auto"/>
          <w:color w:val="auto"/>
        </w:rPr>
        <w:t>http://www.footlocker-inc.com/IR_index.htm</w:t>
      </w:r>
      <w:r>
        <w:rPr>
          <w:rFonts w:ascii="Arial" w:cs="Arial" w:eastAsia="Arial" w:hAnsi="Arial"/>
          <w:sz w:val="17"/>
          <w:szCs w:val="17"/>
          <w:color w:val="auto"/>
        </w:rPr>
        <w:t>. You may also obtain printed copies of these charters by writing to the Corporate Secretary at the Company’s headquarters.</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Independence</w:t>
      </w:r>
    </w:p>
    <w:p>
      <w:pPr>
        <w:spacing w:after="0" w:line="125"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The Board believes that a significant majority of the members of the Board should be independent, as determined by the Board based on the criteria established by The New York Stock Exchange. Each year, the Nominating Committee reviews any relationships between outside directors and the Company that may affect independence. Currently, one of the current 10 members of the Board of Directors serves as an officer of the Company, and the remaining 9 directors are independent under the criteria established by The New York Stock Exchange.</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Lead Director</w:t>
      </w:r>
    </w:p>
    <w:p>
      <w:pPr>
        <w:spacing w:after="0" w:line="125" w:lineRule="exact"/>
        <w:rPr>
          <w:sz w:val="20"/>
          <w:szCs w:val="20"/>
          <w:color w:val="auto"/>
        </w:rPr>
      </w:pPr>
    </w:p>
    <w:p>
      <w:pPr>
        <w:ind w:right="680" w:firstLine="357"/>
        <w:spacing w:after="0" w:line="267" w:lineRule="auto"/>
        <w:rPr>
          <w:sz w:val="20"/>
          <w:szCs w:val="20"/>
          <w:color w:val="auto"/>
        </w:rPr>
      </w:pPr>
      <w:r>
        <w:rPr>
          <w:rFonts w:ascii="Arial" w:cs="Arial" w:eastAsia="Arial" w:hAnsi="Arial"/>
          <w:sz w:val="19"/>
          <w:szCs w:val="19"/>
          <w:color w:val="auto"/>
        </w:rPr>
        <w:t>James E. Preston has served as lead director since May 30, 2007. As lead director, Mr. Preston presides at executive sessions of the independent and non-management directors, reviews and provides input on the Board meeting agendas, and may perform other duties and responsibilities as the Board may determine.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Sessions of Non-Management Directors</w:t>
      </w:r>
    </w:p>
    <w:p>
      <w:pPr>
        <w:spacing w:after="0" w:line="125" w:lineRule="exact"/>
        <w:rPr>
          <w:sz w:val="20"/>
          <w:szCs w:val="20"/>
          <w:color w:val="auto"/>
        </w:rPr>
      </w:pPr>
    </w:p>
    <w:p>
      <w:pPr>
        <w:ind w:right="360" w:firstLine="357"/>
        <w:spacing w:after="0" w:line="283" w:lineRule="auto"/>
        <w:rPr>
          <w:sz w:val="20"/>
          <w:szCs w:val="20"/>
          <w:color w:val="auto"/>
        </w:rPr>
      </w:pPr>
      <w:r>
        <w:rPr>
          <w:rFonts w:ascii="Arial" w:cs="Arial" w:eastAsia="Arial" w:hAnsi="Arial"/>
          <w:sz w:val="19"/>
          <w:szCs w:val="19"/>
          <w:color w:val="auto"/>
        </w:rPr>
        <w:t>The Board of Directors holds regularly scheduled executive sessions of non-management directors. James E. Preston, as the lead director, presides at executive sessions of the independent and non- management directors.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Members’ Attendance at Annual Meetings</w:t>
      </w:r>
    </w:p>
    <w:p>
      <w:pPr>
        <w:spacing w:after="0" w:line="125" w:lineRule="exact"/>
        <w:rPr>
          <w:sz w:val="20"/>
          <w:szCs w:val="20"/>
          <w:color w:val="auto"/>
        </w:rPr>
      </w:pPr>
    </w:p>
    <w:p>
      <w:pPr>
        <w:jc w:val="both"/>
        <w:ind w:right="100" w:firstLine="357"/>
        <w:spacing w:after="0" w:line="267" w:lineRule="auto"/>
        <w:rPr>
          <w:sz w:val="20"/>
          <w:szCs w:val="20"/>
          <w:color w:val="auto"/>
        </w:rPr>
      </w:pPr>
      <w:r>
        <w:rPr>
          <w:rFonts w:ascii="Arial" w:cs="Arial" w:eastAsia="Arial" w:hAnsi="Arial"/>
          <w:sz w:val="19"/>
          <w:szCs w:val="19"/>
          <w:color w:val="auto"/>
        </w:rPr>
        <w:t>Although we do not have a policy on our Board members’ attendance at annual shareholders’ meetings, we encourage each director to attend these important meetings. The annual meeting is normally scheduled on the same day as a Board of Directors’ meeting. In 2007, 10 out of the 12 directors who were then serving attended the annual shareholders’ meeting.</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Director Orientation</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We have an orientation program for new directors that is intended to educate a new director on the Company and the Board’s practices. At the orientation, the newly elected director generally meets with the Company’s Chief Executive Officer, the Chief Financial Officer, the General Counsel and Secretary, as well as with other senior financial officers of the Company, to review the business operations, financial matters, investor relations, corporate governance policies, and the composition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2" w:right="259" w:bottom="1440" w:gutter="0" w:footer="0" w:header="0"/>
        </w:sectPr>
      </w:pPr>
    </w:p>
    <w:bookmarkStart w:id="13" w:name="page14"/>
    <w:bookmarkEnd w:id="13"/>
    <w:p>
      <w:pPr>
        <w:ind w:right="780"/>
        <w:spacing w:after="0" w:line="283" w:lineRule="auto"/>
        <w:rPr>
          <w:sz w:val="20"/>
          <w:szCs w:val="20"/>
          <w:color w:val="auto"/>
        </w:rPr>
      </w:pPr>
      <w:r>
        <w:rPr>
          <w:rFonts w:ascii="Arial" w:cs="Arial" w:eastAsia="Arial" w:hAnsi="Arial"/>
          <w:sz w:val="19"/>
          <w:szCs w:val="19"/>
          <w:color w:val="auto"/>
        </w:rPr>
        <w:t>the Board and its committees. Additionally, he or she has the opportunity to visit our stores at the Company’s New York headquarters, or elsewhere, with a senior division officer for an introduction to store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 of Directors Fees in Stock</w:t>
      </w:r>
    </w:p>
    <w:p>
      <w:pPr>
        <w:spacing w:after="0" w:line="125" w:lineRule="exact"/>
        <w:rPr>
          <w:sz w:val="20"/>
          <w:szCs w:val="20"/>
          <w:color w:val="auto"/>
        </w:rPr>
      </w:pPr>
    </w:p>
    <w:p>
      <w:pPr>
        <w:ind w:right="100" w:firstLine="357"/>
        <w:spacing w:after="0" w:line="344" w:lineRule="auto"/>
        <w:rPr>
          <w:sz w:val="20"/>
          <w:szCs w:val="20"/>
          <w:color w:val="auto"/>
        </w:rPr>
      </w:pPr>
      <w:r>
        <w:rPr>
          <w:rFonts w:ascii="Arial" w:cs="Arial" w:eastAsia="Arial" w:hAnsi="Arial"/>
          <w:sz w:val="17"/>
          <w:szCs w:val="17"/>
          <w:color w:val="auto"/>
        </w:rPr>
        <w:t>The non-employee directors receive one-half of their annual retainer fees, including committee chair and lead director retainer fees, in shares of the Company’s Common Stock, with the balance payable in cash. Directors may elect to receive up to 100 percent of their fees in stock.</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Retirement</w:t>
      </w:r>
    </w:p>
    <w:p>
      <w:pPr>
        <w:spacing w:after="0" w:line="125"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The Board has established a policy in its Corporate Governance Guidelines that directors retire from the Board at the annual meeting of shareholders following the director’s 72nd birthday. As part of the Nominating Committee’s regular evaluation of the Company’s directors and the overall needs of the Board, the Nominating Committee may ask a director to remain on the Board for an additional period of time beyond age 72, or to stand for re-election after reaching age 72. However, a director may not remain on the Board beyond the date of the annual meeting of shareholders following his or her 75th birthday. As described on Page 53, the Board has waived the retirement policy for one director, James E. Preston, who currently serves as the lead director.</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in a Director’s Principal Employment</w:t>
      </w:r>
    </w:p>
    <w:p>
      <w:pPr>
        <w:spacing w:after="0" w:line="125" w:lineRule="exact"/>
        <w:rPr>
          <w:sz w:val="20"/>
          <w:szCs w:val="20"/>
          <w:color w:val="auto"/>
        </w:rPr>
      </w:pPr>
    </w:p>
    <w:p>
      <w:pPr>
        <w:jc w:val="both"/>
        <w:ind w:right="180" w:firstLine="357"/>
        <w:spacing w:after="0" w:line="267" w:lineRule="auto"/>
        <w:rPr>
          <w:sz w:val="20"/>
          <w:szCs w:val="20"/>
          <w:color w:val="auto"/>
        </w:rPr>
      </w:pPr>
      <w:r>
        <w:rPr>
          <w:rFonts w:ascii="Arial" w:cs="Arial" w:eastAsia="Arial" w:hAnsi="Arial"/>
          <w:sz w:val="19"/>
          <w:szCs w:val="19"/>
          <w:color w:val="auto"/>
        </w:rPr>
        <w:t>The Board has established a policy that any director whose principal employment changes is required to advise the Chair of the Nominating and Corporate Governance Committee of this change. If requested, the director will submit a letter of resignation to the Chair of the Committee, and the Committee would then meet to consider whether to accept or reject the letter of resignation.</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Communications with the Board of Directors</w:t>
      </w:r>
    </w:p>
    <w:p>
      <w:pPr>
        <w:spacing w:after="0" w:line="125"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The Board has established a procedure for shareholders and other interested parties to send communications to the non-management members of the Board of Directors. Shareholders and other interested parties who wish to communicate directly with the non-management directors of the Company should send a letter to:</w:t>
      </w:r>
    </w:p>
    <w:p>
      <w:pPr>
        <w:spacing w:after="0" w:line="68"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Board of Directors</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c/o Secretary, Foot Locker, Inc.</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112 West 34th Street</w:t>
      </w:r>
    </w:p>
    <w:p>
      <w:pPr>
        <w:spacing w:after="0" w:line="11"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New York, NY 10120</w:t>
      </w:r>
    </w:p>
    <w:p>
      <w:pPr>
        <w:spacing w:after="0" w:line="10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Secretary will promptly send a copy of the communication to the lead director, who may direct the Secretary to send a copy of the communication to the other non-management directors and may determine whether a meeting of the non-management directors should be called to review the communication.</w:t>
      </w:r>
    </w:p>
    <w:p>
      <w:pPr>
        <w:spacing w:after="0" w:line="68"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 xml:space="preserve">A copy of the Procedures for Communications with the Board of Directors is available on the corporate governance section of the Company’s corporate web site at </w:t>
      </w:r>
      <w:r>
        <w:rPr>
          <w:rFonts w:ascii="Arial" w:cs="Arial" w:eastAsia="Arial" w:hAnsi="Arial"/>
          <w:sz w:val="19"/>
          <w:szCs w:val="19"/>
          <w:i w:val="1"/>
          <w:iCs w:val="1"/>
          <w:u w:val="single" w:color="auto"/>
          <w:color w:val="auto"/>
        </w:rPr>
        <w:t>http://www.footlocker-inc.com/ IR_index.htm</w:t>
      </w:r>
      <w:r>
        <w:rPr>
          <w:rFonts w:ascii="Arial" w:cs="Arial" w:eastAsia="Arial" w:hAnsi="Arial"/>
          <w:sz w:val="19"/>
          <w:szCs w:val="19"/>
          <w:color w:val="auto"/>
        </w:rPr>
        <w:t>. You may obtain a printed copy of the procedures by writing to the Corporate Secretary at the Company’s headquarters.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Retention of Outside Advisors</w:t>
      </w:r>
    </w:p>
    <w:p>
      <w:pPr>
        <w:spacing w:after="0" w:line="125"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color w:val="auto"/>
        </w:rPr>
        <w:t>The Board of Directors and all of its committees have authority to retain outside advisors and consultants that they consider necessary or appropriate in carrying out their respective responsibilities. The independent accountants are retained by the Audit Committee and report directly to the Audit Committee. In addition, the internal auditors are selected by the Audit Committee and are ultimately accountable to the Audit Committee. Similarly, consultants retained by the Compensation and Management Resources Committee to assist it in the evaluation of senior executives’ compensation report directly to that committee.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4" w:name="page15"/>
    <w:bookmarkEnd w:id="14"/>
    <w:p>
      <w:pPr>
        <w:spacing w:after="0"/>
        <w:rPr>
          <w:sz w:val="20"/>
          <w:szCs w:val="20"/>
          <w:color w:val="auto"/>
        </w:rPr>
      </w:pPr>
      <w:r>
        <w:rPr>
          <w:rFonts w:ascii="Arial" w:cs="Arial" w:eastAsia="Arial" w:hAnsi="Arial"/>
          <w:sz w:val="19"/>
          <w:szCs w:val="19"/>
          <w:b w:val="1"/>
          <w:bCs w:val="1"/>
          <w:color w:val="auto"/>
        </w:rPr>
        <w:t>Code of Business Conduct</w:t>
      </w:r>
    </w:p>
    <w:p>
      <w:pPr>
        <w:spacing w:after="0" w:line="12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 xml:space="preserve">The Company has adopted a Code of Business Conduct for directors, officers and employees, including our Chief Executive Officer, Chief Financial Officer, and Chief Accounting Officer. A copy of the Code of Business Conduct is available on the corporate governance section of the Company’s corporate web site at </w:t>
      </w:r>
      <w:r>
        <w:rPr>
          <w:rFonts w:ascii="Arial" w:cs="Arial" w:eastAsia="Arial" w:hAnsi="Arial"/>
          <w:sz w:val="19"/>
          <w:szCs w:val="19"/>
          <w:i w:val="1"/>
          <w:iCs w:val="1"/>
          <w:u w:val="single" w:color="auto"/>
          <w:color w:val="auto"/>
        </w:rPr>
        <w:t>http://www.footlocker-inc.com/IR_index.htm</w:t>
      </w:r>
      <w:r>
        <w:rPr>
          <w:rFonts w:ascii="Arial" w:cs="Arial" w:eastAsia="Arial" w:hAnsi="Arial"/>
          <w:sz w:val="19"/>
          <w:szCs w:val="19"/>
          <w:color w:val="auto"/>
        </w:rPr>
        <w:t>. You may obtain a printed copy of the Code of Business Conduct by writing to the Corporate Secretary at the Company’s headquarters.</w:t>
      </w:r>
    </w:p>
    <w:p>
      <w:pPr>
        <w:spacing w:after="0" w:line="72"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 xml:space="preserve">Any waivers of the Code of Business Conduct for directors and executive officers must be approved by the Audit Committee. We intend to disclose promptly amendments to the Code of Business Conduct and any waivers of the Code for directors and executive officers on the corporate governance section of the Company’s corporate website at </w:t>
      </w:r>
      <w:r>
        <w:rPr>
          <w:rFonts w:ascii="Arial" w:cs="Arial" w:eastAsia="Arial" w:hAnsi="Arial"/>
          <w:sz w:val="19"/>
          <w:szCs w:val="19"/>
          <w:i w:val="1"/>
          <w:iCs w:val="1"/>
          <w:u w:val="single" w:color="auto"/>
          <w:color w:val="auto"/>
        </w:rPr>
        <w:t>http://www.footlocker-inc.com/IR_index.htm</w:t>
      </w:r>
      <w:r>
        <w:rPr>
          <w:rFonts w:ascii="Arial" w:cs="Arial" w:eastAsia="Arial" w:hAnsi="Arial"/>
          <w:sz w:val="19"/>
          <w:szCs w:val="19"/>
          <w:color w:val="auto"/>
        </w:rPr>
        <w:t>.</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Organization and Powers</w:t>
      </w:r>
    </w:p>
    <w:p>
      <w:pPr>
        <w:spacing w:after="0" w:line="125" w:lineRule="exact"/>
        <w:rPr>
          <w:sz w:val="20"/>
          <w:szCs w:val="20"/>
          <w:color w:val="auto"/>
        </w:rPr>
      </w:pPr>
    </w:p>
    <w:p>
      <w:pPr>
        <w:ind w:firstLine="357"/>
        <w:spacing w:after="0" w:line="286" w:lineRule="auto"/>
        <w:rPr>
          <w:sz w:val="20"/>
          <w:szCs w:val="20"/>
          <w:color w:val="auto"/>
        </w:rPr>
      </w:pPr>
      <w:r>
        <w:rPr>
          <w:rFonts w:ascii="Arial" w:cs="Arial" w:eastAsia="Arial" w:hAnsi="Arial"/>
          <w:sz w:val="17"/>
          <w:szCs w:val="17"/>
          <w:color w:val="auto"/>
        </w:rPr>
        <w:t>The Board of Directors has responsibility for establishing broad corporate policies, reviewing significant developments affecting Foot Locker, and monitoring the general performance of the Company. Our By-laws provide for a Board of Directors consisting of between 9 and 17 directors. The exact number of directors is determined from time to time by the entire Board. Our Board currently has 10 members. Christopher A. Sinclair advised the Board that he would not be standing for election as a director at the 2008 Annual Meeting, so his term as a director will end at the</w:t>
      </w:r>
    </w:p>
    <w:p>
      <w:pPr>
        <w:spacing w:after="0" w:line="3" w:lineRule="exact"/>
        <w:rPr>
          <w:sz w:val="20"/>
          <w:szCs w:val="20"/>
          <w:color w:val="auto"/>
        </w:rPr>
      </w:pPr>
    </w:p>
    <w:p>
      <w:pPr>
        <w:ind w:right="360"/>
        <w:spacing w:after="0" w:line="265" w:lineRule="auto"/>
        <w:rPr>
          <w:sz w:val="20"/>
          <w:szCs w:val="20"/>
          <w:color w:val="auto"/>
        </w:rPr>
      </w:pPr>
      <w:r>
        <w:rPr>
          <w:rFonts w:ascii="Arial" w:cs="Arial" w:eastAsia="Arial" w:hAnsi="Arial"/>
          <w:sz w:val="19"/>
          <w:szCs w:val="19"/>
          <w:color w:val="auto"/>
        </w:rPr>
        <w:t>2008 Annual Meeting of Shareholders. The Board has fixed the number of directors at 9 effective May 21, 2008 when Mr. Sinclair’s term as a director ends.</w:t>
      </w:r>
    </w:p>
    <w:p>
      <w:pPr>
        <w:spacing w:after="0" w:line="69" w:lineRule="exact"/>
        <w:rPr>
          <w:sz w:val="20"/>
          <w:szCs w:val="20"/>
          <w:color w:val="auto"/>
        </w:rPr>
      </w:pPr>
    </w:p>
    <w:p>
      <w:pPr>
        <w:ind w:right="500" w:firstLine="357"/>
        <w:spacing w:after="0" w:line="283" w:lineRule="auto"/>
        <w:rPr>
          <w:sz w:val="20"/>
          <w:szCs w:val="20"/>
          <w:color w:val="auto"/>
        </w:rPr>
      </w:pPr>
      <w:r>
        <w:rPr>
          <w:rFonts w:ascii="Arial" w:cs="Arial" w:eastAsia="Arial" w:hAnsi="Arial"/>
          <w:sz w:val="19"/>
          <w:szCs w:val="19"/>
          <w:color w:val="auto"/>
        </w:rPr>
        <w:t>The Board of Directors held six meetings during 2007. All of our directors attended at least 75 percent of the meetings of the Board and committees on which they served in 2007.</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Independence</w:t>
      </w:r>
    </w:p>
    <w:p>
      <w:pPr>
        <w:spacing w:after="0" w:line="112" w:lineRule="exact"/>
        <w:rPr>
          <w:sz w:val="20"/>
          <w:szCs w:val="20"/>
          <w:color w:val="auto"/>
        </w:rPr>
      </w:pPr>
    </w:p>
    <w:p>
      <w:pPr>
        <w:ind w:right="380" w:firstLine="357"/>
        <w:spacing w:after="0" w:line="277" w:lineRule="auto"/>
        <w:rPr>
          <w:sz w:val="20"/>
          <w:szCs w:val="20"/>
          <w:color w:val="auto"/>
        </w:rPr>
      </w:pPr>
      <w:r>
        <w:rPr>
          <w:rFonts w:ascii="Arial" w:cs="Arial" w:eastAsia="Arial" w:hAnsi="Arial"/>
          <w:sz w:val="18"/>
          <w:szCs w:val="18"/>
          <w:color w:val="auto"/>
        </w:rPr>
        <w:t xml:space="preserve">A director is considered independent under the rules of the The New York Stock Exchange if he or she has no material or immaterial relationship to the Company that would impair his or her independence. In addition to the independence criteria established by The New York Stock Exchange, the Board of Directors has adopted categorical standards to assist it in making its independence determinations regarding individual members of the Board. These categorical standards are contained in the Corporate Governance Guidelines, which are posted on the Company’s corporate web site at </w:t>
      </w:r>
      <w:r>
        <w:rPr>
          <w:rFonts w:ascii="Arial" w:cs="Arial" w:eastAsia="Arial" w:hAnsi="Arial"/>
          <w:sz w:val="18"/>
          <w:szCs w:val="18"/>
          <w:i w:val="1"/>
          <w:iCs w:val="1"/>
          <w:u w:val="single" w:color="auto"/>
          <w:color w:val="auto"/>
        </w:rPr>
        <w:t>http://www.footlocker-inc.com/IR_index.htm.</w:t>
      </w:r>
    </w:p>
    <w:p>
      <w:pPr>
        <w:spacing w:after="0" w:line="6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Board of Directors has determined that the following categories of relationships are immaterial for purposes of determining whether a director is independent under the listing standards adopted by The New York Stock Exchange.</w:t>
      </w:r>
    </w:p>
    <w:p>
      <w:pPr>
        <w:spacing w:after="0" w:line="5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337"/>
        </w:trPr>
        <w:tc>
          <w:tcPr>
            <w:tcW w:w="4760" w:type="dxa"/>
            <w:vAlign w:val="bottom"/>
            <w:tcBorders>
              <w:top w:val="single" w:sz="8" w:color="auto"/>
              <w:left w:val="single" w:sz="8" w:color="auto"/>
              <w:bottom w:val="single" w:sz="8" w:color="auto"/>
            </w:tcBorders>
          </w:tcPr>
          <w:p>
            <w:pPr>
              <w:ind w:left="1960"/>
              <w:spacing w:after="0"/>
              <w:rPr>
                <w:sz w:val="20"/>
                <w:szCs w:val="20"/>
                <w:color w:val="auto"/>
              </w:rPr>
            </w:pPr>
            <w:r>
              <w:rPr>
                <w:rFonts w:ascii="Arial" w:cs="Arial" w:eastAsia="Arial" w:hAnsi="Arial"/>
                <w:sz w:val="16"/>
                <w:szCs w:val="16"/>
                <w:b w:val="1"/>
                <w:bCs w:val="1"/>
                <w:color w:val="auto"/>
              </w:rPr>
              <w:t>Categorical Relationship</w:t>
            </w:r>
          </w:p>
        </w:tc>
        <w:tc>
          <w:tcPr>
            <w:tcW w:w="6660" w:type="dxa"/>
            <w:vAlign w:val="bottom"/>
            <w:tcBorders>
              <w:top w:val="single" w:sz="8" w:color="auto"/>
              <w:bottom w:val="single" w:sz="8" w:color="auto"/>
              <w:right w:val="single" w:sz="8" w:color="auto"/>
            </w:tcBorders>
          </w:tcPr>
          <w:p>
            <w:pPr>
              <w:ind w:left="3480"/>
              <w:spacing w:after="0"/>
              <w:rPr>
                <w:sz w:val="20"/>
                <w:szCs w:val="20"/>
                <w:color w:val="auto"/>
              </w:rPr>
            </w:pPr>
            <w:r>
              <w:rPr>
                <w:rFonts w:ascii="Arial" w:cs="Arial" w:eastAsia="Arial" w:hAnsi="Arial"/>
                <w:sz w:val="16"/>
                <w:szCs w:val="16"/>
                <w:b w:val="1"/>
                <w:bCs w:val="1"/>
                <w:color w:val="auto"/>
              </w:rPr>
              <w:t>Description</w:t>
            </w:r>
          </w:p>
        </w:tc>
      </w:tr>
      <w:tr>
        <w:trPr>
          <w:trHeight w:val="268"/>
        </w:trPr>
        <w:tc>
          <w:tcPr>
            <w:tcW w:w="4760" w:type="dxa"/>
            <w:vAlign w:val="bottom"/>
            <w:tcBorders>
              <w:left w:val="single" w:sz="8" w:color="auto"/>
            </w:tcBorders>
          </w:tcPr>
          <w:p>
            <w:pPr>
              <w:ind w:left="40"/>
              <w:spacing w:after="0"/>
              <w:rPr>
                <w:sz w:val="20"/>
                <w:szCs w:val="20"/>
                <w:color w:val="auto"/>
              </w:rPr>
            </w:pPr>
            <w:r>
              <w:rPr>
                <w:rFonts w:ascii="Arial" w:cs="Arial" w:eastAsia="Arial" w:hAnsi="Arial"/>
                <w:sz w:val="19"/>
                <w:szCs w:val="19"/>
                <w:color w:val="auto"/>
              </w:rPr>
              <w:t>Investment Relationships with the Company</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A director and any family member may own equities or other</w:t>
            </w:r>
          </w:p>
        </w:tc>
      </w:tr>
      <w:tr>
        <w:trPr>
          <w:trHeight w:val="252"/>
        </w:trPr>
        <w:tc>
          <w:tcPr>
            <w:tcW w:w="4760" w:type="dxa"/>
            <w:vAlign w:val="bottom"/>
            <w:tcBorders>
              <w:left w:val="single" w:sz="8" w:color="auto"/>
              <w:bottom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securities of the Company.</w:t>
            </w:r>
          </w:p>
        </w:tc>
      </w:tr>
      <w:tr>
        <w:trPr>
          <w:trHeight w:val="269"/>
        </w:trPr>
        <w:tc>
          <w:tcPr>
            <w:tcW w:w="4760" w:type="dxa"/>
            <w:vAlign w:val="bottom"/>
            <w:tcBorders>
              <w:left w:val="single" w:sz="8" w:color="auto"/>
            </w:tcBorders>
          </w:tcPr>
          <w:p>
            <w:pPr>
              <w:ind w:left="40"/>
              <w:spacing w:after="0"/>
              <w:rPr>
                <w:sz w:val="20"/>
                <w:szCs w:val="20"/>
                <w:color w:val="auto"/>
              </w:rPr>
            </w:pPr>
            <w:r>
              <w:rPr>
                <w:rFonts w:ascii="Arial" w:cs="Arial" w:eastAsia="Arial" w:hAnsi="Arial"/>
                <w:sz w:val="19"/>
                <w:szCs w:val="19"/>
                <w:color w:val="auto"/>
              </w:rPr>
              <w:t>Relationships with Other Business Entities</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4"/>
              </w:rPr>
              <w:t>A director and any family member may be a director, employee (other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4"/>
              </w:rPr>
              <w:t>than an executive officer), or beneficial owner of less than 10 percent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of the shares of a business entity with which the Company does</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3"/>
              </w:rPr>
              <w:t>business, provided that the aggregate amount involved in a fiscal year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5"/>
              </w:rPr>
              <w:t>does not exceed the greater of $1,000,000 or 2 percent of either that</w:t>
            </w:r>
          </w:p>
        </w:tc>
      </w:tr>
      <w:tr>
        <w:trPr>
          <w:trHeight w:val="252"/>
        </w:trPr>
        <w:tc>
          <w:tcPr>
            <w:tcW w:w="4760" w:type="dxa"/>
            <w:vAlign w:val="bottom"/>
            <w:tcBorders>
              <w:left w:val="single" w:sz="8" w:color="auto"/>
              <w:bottom w:val="single" w:sz="8" w:color="auto"/>
            </w:tcBorders>
          </w:tcPr>
          <w:p>
            <w:pPr>
              <w:spacing w:after="0"/>
              <w:rPr>
                <w:sz w:val="21"/>
                <w:szCs w:val="21"/>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entity’s or the Company’s annual consolidated gross revenue.</w:t>
            </w:r>
          </w:p>
        </w:tc>
      </w:tr>
      <w:tr>
        <w:trPr>
          <w:trHeight w:val="269"/>
        </w:trPr>
        <w:tc>
          <w:tcPr>
            <w:tcW w:w="4760" w:type="dxa"/>
            <w:vAlign w:val="bottom"/>
            <w:tcBorders>
              <w:left w:val="single" w:sz="8" w:color="auto"/>
            </w:tcBorders>
          </w:tcPr>
          <w:p>
            <w:pPr>
              <w:ind w:left="40"/>
              <w:spacing w:after="0"/>
              <w:rPr>
                <w:sz w:val="20"/>
                <w:szCs w:val="20"/>
                <w:color w:val="auto"/>
              </w:rPr>
            </w:pPr>
            <w:r>
              <w:rPr>
                <w:rFonts w:ascii="Arial" w:cs="Arial" w:eastAsia="Arial" w:hAnsi="Arial"/>
                <w:sz w:val="19"/>
                <w:szCs w:val="19"/>
                <w:color w:val="auto"/>
              </w:rPr>
              <w:t>Relationships with Not-for-Profit Entities</w:t>
            </w: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A director and any family member may be a director or employee</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8"/>
              </w:rPr>
              <w:t>(other than an executive officer or the equivalent) of a not-for-profit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rPr>
              <w:t>organization to which the Company (including the Foot Locker</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3"/>
              </w:rPr>
              <w:t>Foundation) makes contributions, provided that the aggregate amount</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7"/>
              </w:rPr>
              <w:t>of the Company’s contributions in any fiscal year do not exceed the</w:t>
            </w:r>
          </w:p>
        </w:tc>
      </w:tr>
      <w:tr>
        <w:trPr>
          <w:trHeight w:val="230"/>
        </w:trPr>
        <w:tc>
          <w:tcPr>
            <w:tcW w:w="4760" w:type="dxa"/>
            <w:vAlign w:val="bottom"/>
            <w:tcBorders>
              <w:left w:val="single" w:sz="8" w:color="auto"/>
            </w:tcBorders>
          </w:tcPr>
          <w:p>
            <w:pPr>
              <w:spacing w:after="0"/>
              <w:rPr>
                <w:sz w:val="19"/>
                <w:szCs w:val="19"/>
                <w:color w:val="auto"/>
              </w:rPr>
            </w:pPr>
          </w:p>
        </w:tc>
        <w:tc>
          <w:tcPr>
            <w:tcW w:w="6660" w:type="dxa"/>
            <w:vAlign w:val="bottom"/>
            <w:tcBorders>
              <w:right w:val="single" w:sz="8" w:color="auto"/>
            </w:tcBorders>
          </w:tcPr>
          <w:p>
            <w:pPr>
              <w:ind w:left="1120"/>
              <w:spacing w:after="0"/>
              <w:rPr>
                <w:sz w:val="20"/>
                <w:szCs w:val="20"/>
                <w:color w:val="auto"/>
              </w:rPr>
            </w:pPr>
            <w:r>
              <w:rPr>
                <w:rFonts w:ascii="Arial" w:cs="Arial" w:eastAsia="Arial" w:hAnsi="Arial"/>
                <w:sz w:val="19"/>
                <w:szCs w:val="19"/>
                <w:color w:val="auto"/>
                <w:w w:val="98"/>
              </w:rPr>
              <w:t>greater of $1,000,000 or 2 percent of the not- for-profit entity’s total</w:t>
            </w:r>
          </w:p>
        </w:tc>
      </w:tr>
      <w:tr>
        <w:trPr>
          <w:trHeight w:val="253"/>
        </w:trPr>
        <w:tc>
          <w:tcPr>
            <w:tcW w:w="4760" w:type="dxa"/>
            <w:vAlign w:val="bottom"/>
            <w:tcBorders>
              <w:left w:val="single" w:sz="8" w:color="auto"/>
              <w:bottom w:val="single" w:sz="8" w:color="auto"/>
            </w:tcBorders>
          </w:tcPr>
          <w:p>
            <w:pPr>
              <w:spacing w:after="0"/>
              <w:rPr>
                <w:sz w:val="22"/>
                <w:szCs w:val="22"/>
                <w:color w:val="auto"/>
              </w:rPr>
            </w:pPr>
          </w:p>
        </w:tc>
        <w:tc>
          <w:tcPr>
            <w:tcW w:w="666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9"/>
                <w:szCs w:val="19"/>
                <w:color w:val="auto"/>
              </w:rPr>
              <w:t>annual receipts.</w:t>
            </w:r>
          </w:p>
        </w:tc>
      </w:tr>
    </w:tbl>
    <w:p>
      <w:pPr>
        <w:spacing w:after="0" w:line="200"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Board of Directors, upon the recommendation of the Nominating and Corporate Governance Committee, has determined that the following directors are independent under the rules of The New York Stock Exchange because they have no material or immaterial relationship to the Company that would impair their independence:</w:t>
      </w:r>
    </w:p>
    <w:p>
      <w:pPr>
        <w:sectPr>
          <w:pgSz w:w="11900" w:h="16838" w:orient="portrait"/>
          <w:cols w:equalWidth="0" w:num="1">
            <w:col w:w="11420"/>
          </w:cols>
          <w:pgMar w:left="240" w:top="332" w:right="239" w:bottom="1440" w:gutter="0" w:footer="0" w:header="0"/>
        </w:sectPr>
      </w:pP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Nicholas DiPaolo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David Y. Schwartz</w:t>
      </w:r>
    </w:p>
    <w:p>
      <w:pPr>
        <w:spacing w:after="0" w:line="74"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7"/>
          <w:szCs w:val="17"/>
          <w:color w:val="auto"/>
        </w:rPr>
        <w:t>Alan D. Feldman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Christopher A. Sinclair</w:t>
      </w:r>
    </w:p>
    <w:p>
      <w:pPr>
        <w:spacing w:after="0" w:line="63"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7"/>
          <w:szCs w:val="17"/>
          <w:color w:val="auto"/>
        </w:rPr>
        <w:t>Jarobin Gilbert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Cheryl Turpin</w:t>
      </w:r>
    </w:p>
    <w:p>
      <w:pPr>
        <w:spacing w:after="0" w:line="63"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8"/>
          <w:szCs w:val="18"/>
          <w:color w:val="auto"/>
        </w:rPr>
        <w:t>Matthew M. McKenna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Dona D. Young</w:t>
      </w:r>
    </w:p>
    <w:p>
      <w:pPr>
        <w:spacing w:after="0" w:line="74" w:lineRule="exact"/>
        <w:rPr>
          <w:sz w:val="20"/>
          <w:szCs w:val="20"/>
          <w:color w:val="auto"/>
        </w:rPr>
      </w:pPr>
    </w:p>
    <w:p>
      <w:pPr>
        <w:sectPr>
          <w:pgSz w:w="11900" w:h="16838" w:orient="portrait"/>
          <w:cols w:equalWidth="0" w:num="2">
            <w:col w:w="4980" w:space="720"/>
            <w:col w:w="5720"/>
          </w:cols>
          <w:pgMar w:left="240" w:top="332" w:right="239" w:bottom="1440" w:gutter="0" w:footer="0" w:header="0"/>
          <w:type w:val="continuous"/>
        </w:sectPr>
      </w:pPr>
    </w:p>
    <w:p>
      <w:pPr>
        <w:ind w:left="2720"/>
        <w:spacing w:after="0"/>
        <w:rPr>
          <w:sz w:val="20"/>
          <w:szCs w:val="20"/>
          <w:color w:val="auto"/>
        </w:rPr>
      </w:pPr>
      <w:r>
        <w:rPr>
          <w:rFonts w:ascii="Arial" w:cs="Arial" w:eastAsia="Arial" w:hAnsi="Arial"/>
          <w:sz w:val="16"/>
          <w:szCs w:val="16"/>
          <w:color w:val="auto"/>
        </w:rPr>
        <w:t>James E. Preston</w:t>
      </w:r>
    </w:p>
    <w:p>
      <w:pPr>
        <w:sectPr>
          <w:pgSz w:w="11900" w:h="16838" w:orient="portrait"/>
          <w:cols w:equalWidth="0" w:num="1">
            <w:col w:w="11420"/>
          </w:cols>
          <w:pgMar w:left="240" w:top="332" w:right="239" w:bottom="1440" w:gutter="0" w:footer="0" w:header="0"/>
          <w:type w:val="continuous"/>
        </w:sectPr>
      </w:pPr>
    </w:p>
    <w:p>
      <w:pPr>
        <w:spacing w:after="0" w:line="181"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Purdy Crawford and Philip H. Geier Jr. served as directors of the Company during 2007 until their retirement on May 30, 2007. The Board determined, upon the recommendation of the Nominating and Corporate Governance Committee, that both Mr. Crawford and Mr. Geier were independent under the rules of The New York Stock Exchange through their retirement because they had no material or immaterial relationship to the Company that would impair their independence.</w:t>
      </w:r>
    </w:p>
    <w:p>
      <w:pPr>
        <w:spacing w:after="0" w:line="72" w:lineRule="exact"/>
        <w:rPr>
          <w:sz w:val="20"/>
          <w:szCs w:val="20"/>
          <w:color w:val="auto"/>
        </w:rPr>
      </w:pPr>
    </w:p>
    <w:p>
      <w:pPr>
        <w:ind w:right="940" w:firstLine="357"/>
        <w:spacing w:after="0" w:line="283" w:lineRule="auto"/>
        <w:rPr>
          <w:sz w:val="20"/>
          <w:szCs w:val="20"/>
          <w:color w:val="auto"/>
        </w:rPr>
      </w:pPr>
      <w:r>
        <w:rPr>
          <w:rFonts w:ascii="Arial" w:cs="Arial" w:eastAsia="Arial" w:hAnsi="Arial"/>
          <w:sz w:val="19"/>
          <w:szCs w:val="19"/>
          <w:color w:val="auto"/>
        </w:rPr>
        <w:t>In making its decisions on independence, the Board of Directors considered the following relationships between the Company and organizations with which the current and retired members of our Board are affiliated:</w:t>
      </w:r>
    </w:p>
    <w:p>
      <w:pPr>
        <w:spacing w:after="0" w:line="106" w:lineRule="exact"/>
        <w:rPr>
          <w:sz w:val="20"/>
          <w:szCs w:val="20"/>
          <w:color w:val="auto"/>
        </w:rPr>
      </w:pPr>
    </w:p>
    <w:p>
      <w:pPr>
        <w:ind w:left="540" w:right="120" w:hanging="158"/>
        <w:spacing w:after="0" w:line="258"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Matthew M. McKenna was an executive officer of PepsiCo, Inc. through December 31, 2007. Our direct-to-customers business had an internet marketing arrangement with a division of PepsiCo and a third party in 2007. We indirectly received from the PepsiCo division approximately $637,500 under this arrangement in 2007. In addition, we paid a division of PepsiCo approximately $80,000 in 2007 for products sold through our catalogs. The Board has determined that this relationship was immaterial and would not impair Mr. McKenna’s independence because the amounts involved are not material to either company and the transactions were conducted in the ordinary course of business.</w:t>
      </w:r>
    </w:p>
    <w:p>
      <w:pPr>
        <w:spacing w:after="0" w:line="89" w:lineRule="exact"/>
        <w:rPr>
          <w:rFonts w:ascii="Arial" w:cs="Arial" w:eastAsia="Arial" w:hAnsi="Arial"/>
          <w:sz w:val="19"/>
          <w:szCs w:val="19"/>
          <w:color w:val="auto"/>
        </w:rPr>
      </w:pPr>
    </w:p>
    <w:p>
      <w:pPr>
        <w:ind w:left="540" w:right="260" w:hanging="158"/>
        <w:spacing w:after="0" w:line="28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David Y. Schwartz, Cheryl Turpin, and Dona D. Young are non-employee directors of companies with which Foot Locker does business. The Board has determined that Mr.</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type w:val="continuous"/>
        </w:sectPr>
      </w:pPr>
    </w:p>
    <w:bookmarkStart w:id="16" w:name="page17"/>
    <w:bookmarkEnd w:id="16"/>
    <w:p>
      <w:pPr>
        <w:ind w:left="540" w:right="140"/>
        <w:spacing w:after="0" w:line="283" w:lineRule="auto"/>
        <w:rPr>
          <w:sz w:val="20"/>
          <w:szCs w:val="20"/>
          <w:color w:val="auto"/>
        </w:rPr>
      </w:pPr>
      <w:r>
        <w:rPr>
          <w:rFonts w:ascii="Arial" w:cs="Arial" w:eastAsia="Arial" w:hAnsi="Arial"/>
          <w:sz w:val="19"/>
          <w:szCs w:val="19"/>
          <w:color w:val="auto"/>
        </w:rPr>
        <w:t>Schwartz’s, Ms. Turpin’s, and Mrs. Young’s relationships meet the categorical standard for Relationships with Other Business Entities and are immaterial for determining independence.</w:t>
      </w:r>
    </w:p>
    <w:p>
      <w:pPr>
        <w:spacing w:after="0" w:line="65" w:lineRule="exact"/>
        <w:rPr>
          <w:sz w:val="20"/>
          <w:szCs w:val="20"/>
          <w:color w:val="auto"/>
        </w:rPr>
      </w:pPr>
    </w:p>
    <w:p>
      <w:pPr>
        <w:ind w:left="540" w:right="20" w:hanging="158"/>
        <w:spacing w:after="0" w:line="259"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Purdy Crawford, who retired from the Board in May 2007, is counsel to the Toronto law firm of Osler, Hoskin &amp; Harcourt LLP (“OH&amp;H”), a firm that has provided legal services to the Company. Mr. Crawford advised the Company that, while OH&amp;H provided him with an office and administrative support, the firm provided him with no remuneration in 2007. The Board has determined that Mr. Crawford was independent because he received no direct compensation from OH&amp;H, he was not an employee, equity partner, or manager of OH&amp;H, and he was not involved in the provision of services to the Company.</w:t>
      </w:r>
    </w:p>
    <w:p>
      <w:pPr>
        <w:spacing w:after="0" w:line="90" w:lineRule="exact"/>
        <w:rPr>
          <w:rFonts w:ascii="Arial" w:cs="Arial" w:eastAsia="Arial" w:hAnsi="Arial"/>
          <w:sz w:val="19"/>
          <w:szCs w:val="19"/>
          <w:color w:val="auto"/>
        </w:rPr>
      </w:pPr>
    </w:p>
    <w:p>
      <w:pPr>
        <w:ind w:left="540" w:right="80" w:hanging="158"/>
        <w:spacing w:after="0" w:line="313"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Philip H. Geier Jr., who retired from the Board in May 2007, is a member of the Board of Trustees of a not-for-profit organization to which the Company and the Foot Locker Foundation made contributions in 2007. The Board has determined that Mr. Geier’s relationship meets the categorical standard for Relationships with Not-for-Profit Entities and is not material for determining independence.</w:t>
      </w:r>
    </w:p>
    <w:p>
      <w:pPr>
        <w:spacing w:after="0" w:line="45" w:lineRule="exact"/>
        <w:rPr>
          <w:rFonts w:ascii="Arial" w:cs="Arial" w:eastAsia="Arial" w:hAnsi="Arial"/>
          <w:sz w:val="17"/>
          <w:szCs w:val="17"/>
          <w:color w:val="auto"/>
        </w:rPr>
      </w:pPr>
    </w:p>
    <w:p>
      <w:pPr>
        <w:ind w:left="540" w:right="80" w:hanging="158"/>
        <w:spacing w:after="0" w:line="283"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Board of Directors, upon the recommendation of the Nominating and Corporate Governance Committee, has determined that Matthew D. Serra is not independent because Mr. Serra is an executive officer of the Company.</w:t>
      </w:r>
    </w:p>
    <w:p>
      <w:pPr>
        <w:spacing w:after="0" w:line="268"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The Board of Directors has determined that all members of the Audit Committee, the Compensation and Management Resources Committee and the Nominating and Corporate Governance Committee are independent as defined under the listing standards of The New York Stock Exchange and the director independence standards adopted by the Board.</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Committees of the Board of Directors</w:t>
      </w:r>
    </w:p>
    <w:p>
      <w:pPr>
        <w:spacing w:after="0" w:line="125"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The Board has delegated certain duties to committees, which assist the Board in carrying out its responsibilities. There are six standing committees of the Board. Each director serves on at least two committees. The committee memberships, the number of meetings held during 2007, and the functions of the committees are described below.</w:t>
      </w:r>
    </w:p>
    <w:p>
      <w:pPr>
        <w:spacing w:after="0" w:line="58"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1660" w:type="dxa"/>
            <w:vAlign w:val="bottom"/>
            <w:tcBorders>
              <w:top w:val="single" w:sz="8" w:color="auto"/>
              <w:left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3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80" w:type="dxa"/>
            <w:vAlign w:val="bottom"/>
            <w:tcBorders>
              <w:top w:val="single" w:sz="8" w:color="auto"/>
              <w:right w:val="single" w:sz="8" w:color="auto"/>
            </w:tcBorders>
          </w:tcPr>
          <w:p>
            <w:pPr>
              <w:spacing w:after="0"/>
              <w:rPr>
                <w:sz w:val="20"/>
                <w:szCs w:val="20"/>
                <w:color w:val="auto"/>
              </w:rPr>
            </w:pPr>
          </w:p>
        </w:tc>
      </w:tr>
      <w:tr>
        <w:trPr>
          <w:trHeight w:val="176"/>
        </w:trPr>
        <w:tc>
          <w:tcPr>
            <w:tcW w:w="16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and</w:t>
            </w:r>
          </w:p>
        </w:tc>
        <w:tc>
          <w:tcPr>
            <w:tcW w:w="30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Finance and</w:t>
            </w:r>
          </w:p>
        </w:tc>
        <w:tc>
          <w:tcPr>
            <w:tcW w:w="28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Nominating</w:t>
            </w: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r>
      <w:tr>
        <w:trPr>
          <w:trHeight w:val="176"/>
        </w:trPr>
        <w:tc>
          <w:tcPr>
            <w:tcW w:w="1660" w:type="dxa"/>
            <w:vAlign w:val="bottom"/>
            <w:tcBorders>
              <w:lef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Management</w:t>
            </w:r>
          </w:p>
        </w:tc>
        <w:tc>
          <w:tcPr>
            <w:tcW w:w="30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Strategic</w:t>
            </w:r>
          </w:p>
        </w:tc>
        <w:tc>
          <w:tcPr>
            <w:tcW w:w="28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and Corporate</w:t>
            </w:r>
          </w:p>
        </w:tc>
        <w:tc>
          <w:tcPr>
            <w:tcW w:w="30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Retirement</w:t>
            </w:r>
          </w:p>
        </w:tc>
        <w:tc>
          <w:tcPr>
            <w:tcW w:w="300" w:type="dxa"/>
            <w:vAlign w:val="bottom"/>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r>
      <w:tr>
        <w:trPr>
          <w:trHeight w:val="176"/>
        </w:trPr>
        <w:tc>
          <w:tcPr>
            <w:tcW w:w="1660" w:type="dxa"/>
            <w:vAlign w:val="bottom"/>
            <w:tcBorders>
              <w:left w:val="single" w:sz="8" w:color="auto"/>
            </w:tcBorders>
          </w:tcPr>
          <w:p>
            <w:pPr>
              <w:ind w:left="640"/>
              <w:spacing w:after="0" w:line="176" w:lineRule="exact"/>
              <w:rPr>
                <w:sz w:val="20"/>
                <w:szCs w:val="20"/>
                <w:color w:val="auto"/>
              </w:rPr>
            </w:pPr>
            <w:r>
              <w:rPr>
                <w:rFonts w:ascii="Arial" w:cs="Arial" w:eastAsia="Arial" w:hAnsi="Arial"/>
                <w:sz w:val="16"/>
                <w:szCs w:val="16"/>
                <w:b w:val="1"/>
                <w:bCs w:val="1"/>
                <w:color w:val="auto"/>
              </w:rPr>
              <w:t>Audit</w:t>
            </w:r>
          </w:p>
        </w:tc>
        <w:tc>
          <w:tcPr>
            <w:tcW w:w="300" w:type="dxa"/>
            <w:vAlign w:val="bottom"/>
          </w:tcPr>
          <w:p>
            <w:pPr>
              <w:spacing w:after="0"/>
              <w:rPr>
                <w:sz w:val="15"/>
                <w:szCs w:val="15"/>
                <w:color w:val="auto"/>
              </w:rPr>
            </w:pPr>
          </w:p>
        </w:tc>
        <w:tc>
          <w:tcPr>
            <w:tcW w:w="16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5"/>
              </w:rPr>
              <w:t>Resources</w:t>
            </w:r>
          </w:p>
        </w:tc>
        <w:tc>
          <w:tcPr>
            <w:tcW w:w="30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Planning</w:t>
            </w:r>
          </w:p>
        </w:tc>
        <w:tc>
          <w:tcPr>
            <w:tcW w:w="28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Governance</w:t>
            </w:r>
          </w:p>
        </w:tc>
        <w:tc>
          <w:tcPr>
            <w:tcW w:w="30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Plan</w:t>
            </w:r>
          </w:p>
        </w:tc>
        <w:tc>
          <w:tcPr>
            <w:tcW w:w="300" w:type="dxa"/>
            <w:vAlign w:val="bottom"/>
          </w:tcPr>
          <w:p>
            <w:pPr>
              <w:spacing w:after="0"/>
              <w:rPr>
                <w:sz w:val="15"/>
                <w:szCs w:val="15"/>
                <w:color w:val="auto"/>
              </w:rPr>
            </w:pPr>
          </w:p>
        </w:tc>
        <w:tc>
          <w:tcPr>
            <w:tcW w:w="1680" w:type="dxa"/>
            <w:vAlign w:val="bottom"/>
            <w:tcBorders>
              <w:right w:val="single" w:sz="8" w:color="auto"/>
            </w:tcBorders>
          </w:tcPr>
          <w:p>
            <w:pPr>
              <w:ind w:left="500"/>
              <w:spacing w:after="0" w:line="176" w:lineRule="exact"/>
              <w:rPr>
                <w:sz w:val="20"/>
                <w:szCs w:val="20"/>
                <w:color w:val="auto"/>
              </w:rPr>
            </w:pPr>
            <w:r>
              <w:rPr>
                <w:rFonts w:ascii="Arial" w:cs="Arial" w:eastAsia="Arial" w:hAnsi="Arial"/>
                <w:sz w:val="16"/>
                <w:szCs w:val="16"/>
                <w:b w:val="1"/>
                <w:bCs w:val="1"/>
                <w:color w:val="auto"/>
              </w:rPr>
              <w:t>Executive</w:t>
            </w:r>
          </w:p>
        </w:tc>
      </w:tr>
      <w:tr>
        <w:trPr>
          <w:trHeight w:val="209"/>
        </w:trPr>
        <w:tc>
          <w:tcPr>
            <w:tcW w:w="1660" w:type="dxa"/>
            <w:vAlign w:val="bottom"/>
            <w:tcBorders>
              <w:left w:val="single" w:sz="8" w:color="auto"/>
              <w:bottom w:val="single" w:sz="8" w:color="auto"/>
            </w:tcBorders>
          </w:tcPr>
          <w:p>
            <w:pPr>
              <w:ind w:left="460"/>
              <w:spacing w:after="0"/>
              <w:rPr>
                <w:sz w:val="20"/>
                <w:szCs w:val="20"/>
                <w:color w:val="auto"/>
              </w:rPr>
            </w:pPr>
            <w:r>
              <w:rPr>
                <w:rFonts w:ascii="Arial" w:cs="Arial" w:eastAsia="Arial" w:hAnsi="Arial"/>
                <w:sz w:val="16"/>
                <w:szCs w:val="16"/>
                <w:b w:val="1"/>
                <w:bCs w:val="1"/>
                <w:color w:val="auto"/>
              </w:rPr>
              <w:t>Committee</w:t>
            </w:r>
          </w:p>
        </w:tc>
        <w:tc>
          <w:tcPr>
            <w:tcW w:w="30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Committee</w:t>
            </w:r>
          </w:p>
        </w:tc>
        <w:tc>
          <w:tcPr>
            <w:tcW w:w="3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Committee</w:t>
            </w:r>
          </w:p>
        </w:tc>
        <w:tc>
          <w:tcPr>
            <w:tcW w:w="28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Committee</w:t>
            </w:r>
          </w:p>
        </w:tc>
        <w:tc>
          <w:tcPr>
            <w:tcW w:w="3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Committee</w:t>
            </w:r>
          </w:p>
        </w:tc>
        <w:tc>
          <w:tcPr>
            <w:tcW w:w="300" w:type="dxa"/>
            <w:vAlign w:val="bottom"/>
          </w:tcPr>
          <w:p>
            <w:pPr>
              <w:spacing w:after="0"/>
              <w:rPr>
                <w:sz w:val="18"/>
                <w:szCs w:val="18"/>
                <w:color w:val="auto"/>
              </w:rPr>
            </w:pPr>
          </w:p>
        </w:tc>
        <w:tc>
          <w:tcPr>
            <w:tcW w:w="168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6"/>
                <w:szCs w:val="16"/>
                <w:b w:val="1"/>
                <w:bCs w:val="1"/>
                <w:color w:val="auto"/>
              </w:rPr>
              <w:t>Committee</w:t>
            </w:r>
          </w:p>
        </w:tc>
      </w:tr>
      <w:tr>
        <w:trPr>
          <w:trHeight w:val="245"/>
        </w:trPr>
        <w:tc>
          <w:tcPr>
            <w:tcW w:w="1660" w:type="dxa"/>
            <w:vAlign w:val="bottom"/>
            <w:tcBorders>
              <w:left w:val="single" w:sz="8" w:color="auto"/>
            </w:tcBorders>
          </w:tcPr>
          <w:p>
            <w:pPr>
              <w:ind w:left="80"/>
              <w:spacing w:after="0"/>
              <w:rPr>
                <w:sz w:val="20"/>
                <w:szCs w:val="20"/>
                <w:color w:val="auto"/>
              </w:rPr>
            </w:pPr>
            <w:r>
              <w:rPr>
                <w:rFonts w:ascii="Arial" w:cs="Arial" w:eastAsia="Arial" w:hAnsi="Arial"/>
                <w:sz w:val="19"/>
                <w:szCs w:val="19"/>
                <w:color w:val="auto"/>
              </w:rPr>
              <w:t>N. DiPaolo*</w:t>
            </w:r>
          </w:p>
        </w:tc>
        <w:tc>
          <w:tcPr>
            <w:tcW w:w="300" w:type="dxa"/>
            <w:vAlign w:val="bottom"/>
          </w:tcPr>
          <w:p>
            <w:pPr>
              <w:spacing w:after="0"/>
              <w:rPr>
                <w:sz w:val="21"/>
                <w:szCs w:val="21"/>
                <w:color w:val="auto"/>
              </w:rPr>
            </w:pPr>
          </w:p>
        </w:tc>
        <w:tc>
          <w:tcPr>
            <w:tcW w:w="1620" w:type="dxa"/>
            <w:vAlign w:val="bottom"/>
          </w:tcPr>
          <w:p>
            <w:pPr>
              <w:spacing w:after="0"/>
              <w:rPr>
                <w:sz w:val="20"/>
                <w:szCs w:val="20"/>
                <w:color w:val="auto"/>
              </w:rPr>
            </w:pPr>
            <w:r>
              <w:rPr>
                <w:rFonts w:ascii="Arial" w:cs="Arial" w:eastAsia="Arial" w:hAnsi="Arial"/>
                <w:sz w:val="19"/>
                <w:szCs w:val="19"/>
                <w:color w:val="auto"/>
              </w:rPr>
              <w:t>J. Preston*</w:t>
            </w:r>
          </w:p>
        </w:tc>
        <w:tc>
          <w:tcPr>
            <w:tcW w:w="30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9"/>
                <w:szCs w:val="19"/>
                <w:color w:val="auto"/>
              </w:rPr>
              <w:t>C. Sinclair*</w:t>
            </w:r>
          </w:p>
        </w:tc>
        <w:tc>
          <w:tcPr>
            <w:tcW w:w="28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9"/>
                <w:szCs w:val="19"/>
                <w:color w:val="auto"/>
              </w:rPr>
              <w:t>J. Gilbert Jr.*</w:t>
            </w:r>
          </w:p>
        </w:tc>
        <w:tc>
          <w:tcPr>
            <w:tcW w:w="300" w:type="dxa"/>
            <w:vAlign w:val="bottom"/>
          </w:tcPr>
          <w:p>
            <w:pPr>
              <w:spacing w:after="0"/>
              <w:rPr>
                <w:sz w:val="21"/>
                <w:szCs w:val="21"/>
                <w:color w:val="auto"/>
              </w:rPr>
            </w:pPr>
          </w:p>
        </w:tc>
        <w:tc>
          <w:tcPr>
            <w:tcW w:w="1660" w:type="dxa"/>
            <w:vAlign w:val="bottom"/>
          </w:tcPr>
          <w:p>
            <w:pPr>
              <w:ind w:left="20"/>
              <w:spacing w:after="0"/>
              <w:rPr>
                <w:sz w:val="20"/>
                <w:szCs w:val="20"/>
                <w:color w:val="auto"/>
              </w:rPr>
            </w:pPr>
            <w:r>
              <w:rPr>
                <w:rFonts w:ascii="Arial" w:cs="Arial" w:eastAsia="Arial" w:hAnsi="Arial"/>
                <w:sz w:val="19"/>
                <w:szCs w:val="19"/>
                <w:color w:val="auto"/>
              </w:rPr>
              <w:t>J. Gilbert Jr.*</w:t>
            </w:r>
          </w:p>
        </w:tc>
        <w:tc>
          <w:tcPr>
            <w:tcW w:w="300" w:type="dxa"/>
            <w:vAlign w:val="bottom"/>
          </w:tcPr>
          <w:p>
            <w:pPr>
              <w:spacing w:after="0"/>
              <w:rPr>
                <w:sz w:val="21"/>
                <w:szCs w:val="21"/>
                <w:color w:val="auto"/>
              </w:rPr>
            </w:pP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M. Serra***</w:t>
            </w:r>
          </w:p>
        </w:tc>
      </w:tr>
      <w:tr>
        <w:trPr>
          <w:trHeight w:val="270"/>
        </w:trPr>
        <w:tc>
          <w:tcPr>
            <w:tcW w:w="1660" w:type="dxa"/>
            <w:vAlign w:val="bottom"/>
            <w:tcBorders>
              <w:left w:val="single" w:sz="8" w:color="auto"/>
            </w:tcBorders>
          </w:tcPr>
          <w:p>
            <w:pPr>
              <w:ind w:left="80"/>
              <w:spacing w:after="0"/>
              <w:rPr>
                <w:sz w:val="20"/>
                <w:szCs w:val="20"/>
                <w:color w:val="auto"/>
              </w:rPr>
            </w:pPr>
            <w:r>
              <w:rPr>
                <w:rFonts w:ascii="Arial" w:cs="Arial" w:eastAsia="Arial" w:hAnsi="Arial"/>
                <w:sz w:val="19"/>
                <w:szCs w:val="19"/>
                <w:color w:val="auto"/>
              </w:rPr>
              <w:t>J. Gilbert Jr.</w:t>
            </w:r>
          </w:p>
        </w:tc>
        <w:tc>
          <w:tcPr>
            <w:tcW w:w="300" w:type="dxa"/>
            <w:vAlign w:val="bottom"/>
          </w:tcPr>
          <w:p>
            <w:pPr>
              <w:spacing w:after="0"/>
              <w:rPr>
                <w:sz w:val="23"/>
                <w:szCs w:val="23"/>
                <w:color w:val="auto"/>
              </w:rPr>
            </w:pPr>
          </w:p>
        </w:tc>
        <w:tc>
          <w:tcPr>
            <w:tcW w:w="1620" w:type="dxa"/>
            <w:vAlign w:val="bottom"/>
          </w:tcPr>
          <w:p>
            <w:pPr>
              <w:spacing w:after="0"/>
              <w:rPr>
                <w:sz w:val="20"/>
                <w:szCs w:val="20"/>
                <w:color w:val="auto"/>
              </w:rPr>
            </w:pPr>
            <w:r>
              <w:rPr>
                <w:rFonts w:ascii="Arial" w:cs="Arial" w:eastAsia="Arial" w:hAnsi="Arial"/>
                <w:sz w:val="19"/>
                <w:szCs w:val="19"/>
                <w:color w:val="auto"/>
              </w:rPr>
              <w:t>A. Feldman</w:t>
            </w:r>
          </w:p>
        </w:tc>
        <w:tc>
          <w:tcPr>
            <w:tcW w:w="30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19"/>
                <w:szCs w:val="19"/>
                <w:color w:val="auto"/>
              </w:rPr>
              <w:t>N. DiPaolo</w:t>
            </w:r>
          </w:p>
        </w:tc>
        <w:tc>
          <w:tcPr>
            <w:tcW w:w="28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19"/>
                <w:szCs w:val="19"/>
                <w:color w:val="auto"/>
              </w:rPr>
              <w:t>J. Preston</w:t>
            </w:r>
          </w:p>
        </w:tc>
        <w:tc>
          <w:tcPr>
            <w:tcW w:w="30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19"/>
                <w:szCs w:val="19"/>
                <w:color w:val="auto"/>
              </w:rPr>
              <w:t>N. DiPaolo</w:t>
            </w:r>
          </w:p>
        </w:tc>
        <w:tc>
          <w:tcPr>
            <w:tcW w:w="300" w:type="dxa"/>
            <w:vAlign w:val="bottom"/>
          </w:tcPr>
          <w:p>
            <w:pPr>
              <w:spacing w:after="0"/>
              <w:rPr>
                <w:sz w:val="23"/>
                <w:szCs w:val="23"/>
                <w:color w:val="auto"/>
              </w:rPr>
            </w:pP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N. DiPaolo</w:t>
            </w:r>
          </w:p>
        </w:tc>
      </w:tr>
      <w:tr>
        <w:trPr>
          <w:trHeight w:val="270"/>
        </w:trPr>
        <w:tc>
          <w:tcPr>
            <w:tcW w:w="1660" w:type="dxa"/>
            <w:vAlign w:val="bottom"/>
            <w:tcBorders>
              <w:left w:val="single" w:sz="8" w:color="auto"/>
            </w:tcBorders>
          </w:tcPr>
          <w:p>
            <w:pPr>
              <w:ind w:left="80"/>
              <w:spacing w:after="0"/>
              <w:rPr>
                <w:sz w:val="20"/>
                <w:szCs w:val="20"/>
                <w:color w:val="auto"/>
              </w:rPr>
            </w:pPr>
            <w:r>
              <w:rPr>
                <w:rFonts w:ascii="Arial" w:cs="Arial" w:eastAsia="Arial" w:hAnsi="Arial"/>
                <w:sz w:val="19"/>
                <w:szCs w:val="19"/>
                <w:color w:val="auto"/>
              </w:rPr>
              <w:t>M. McKenna</w:t>
            </w:r>
          </w:p>
        </w:tc>
        <w:tc>
          <w:tcPr>
            <w:tcW w:w="300" w:type="dxa"/>
            <w:vAlign w:val="bottom"/>
          </w:tcPr>
          <w:p>
            <w:pPr>
              <w:spacing w:after="0"/>
              <w:rPr>
                <w:sz w:val="23"/>
                <w:szCs w:val="23"/>
                <w:color w:val="auto"/>
              </w:rPr>
            </w:pPr>
          </w:p>
        </w:tc>
        <w:tc>
          <w:tcPr>
            <w:tcW w:w="1620" w:type="dxa"/>
            <w:vAlign w:val="bottom"/>
          </w:tcPr>
          <w:p>
            <w:pPr>
              <w:spacing w:after="0"/>
              <w:rPr>
                <w:sz w:val="20"/>
                <w:szCs w:val="20"/>
                <w:color w:val="auto"/>
              </w:rPr>
            </w:pPr>
            <w:r>
              <w:rPr>
                <w:rFonts w:ascii="Arial" w:cs="Arial" w:eastAsia="Arial" w:hAnsi="Arial"/>
                <w:sz w:val="19"/>
                <w:szCs w:val="19"/>
                <w:color w:val="auto"/>
              </w:rPr>
              <w:t>C. Sinclair</w:t>
            </w:r>
          </w:p>
        </w:tc>
        <w:tc>
          <w:tcPr>
            <w:tcW w:w="30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19"/>
                <w:szCs w:val="19"/>
                <w:color w:val="auto"/>
              </w:rPr>
              <w:t>A. Feldman</w:t>
            </w:r>
          </w:p>
        </w:tc>
        <w:tc>
          <w:tcPr>
            <w:tcW w:w="28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19"/>
                <w:szCs w:val="19"/>
                <w:color w:val="auto"/>
              </w:rPr>
              <w:t>C. Turpin</w:t>
            </w:r>
          </w:p>
        </w:tc>
        <w:tc>
          <w:tcPr>
            <w:tcW w:w="30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19"/>
                <w:szCs w:val="19"/>
                <w:color w:val="auto"/>
              </w:rPr>
              <w:t>R. McHugh**</w:t>
            </w:r>
          </w:p>
        </w:tc>
        <w:tc>
          <w:tcPr>
            <w:tcW w:w="300" w:type="dxa"/>
            <w:vAlign w:val="bottom"/>
          </w:tcPr>
          <w:p>
            <w:pPr>
              <w:spacing w:after="0"/>
              <w:rPr>
                <w:sz w:val="23"/>
                <w:szCs w:val="23"/>
                <w:color w:val="auto"/>
              </w:rPr>
            </w:pP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J. Gilbert Jr.</w:t>
            </w:r>
          </w:p>
        </w:tc>
      </w:tr>
      <w:tr>
        <w:trPr>
          <w:trHeight w:val="270"/>
        </w:trPr>
        <w:tc>
          <w:tcPr>
            <w:tcW w:w="1660" w:type="dxa"/>
            <w:vAlign w:val="bottom"/>
            <w:tcBorders>
              <w:left w:val="single" w:sz="8" w:color="auto"/>
            </w:tcBorders>
          </w:tcPr>
          <w:p>
            <w:pPr>
              <w:ind w:left="80"/>
              <w:spacing w:after="0"/>
              <w:rPr>
                <w:sz w:val="20"/>
                <w:szCs w:val="20"/>
                <w:color w:val="auto"/>
              </w:rPr>
            </w:pPr>
            <w:r>
              <w:rPr>
                <w:rFonts w:ascii="Arial" w:cs="Arial" w:eastAsia="Arial" w:hAnsi="Arial"/>
                <w:sz w:val="19"/>
                <w:szCs w:val="19"/>
                <w:color w:val="auto"/>
              </w:rPr>
              <w:t>D. Schwartz</w:t>
            </w:r>
          </w:p>
        </w:tc>
        <w:tc>
          <w:tcPr>
            <w:tcW w:w="300" w:type="dxa"/>
            <w:vAlign w:val="bottom"/>
          </w:tcPr>
          <w:p>
            <w:pPr>
              <w:spacing w:after="0"/>
              <w:rPr>
                <w:sz w:val="23"/>
                <w:szCs w:val="23"/>
                <w:color w:val="auto"/>
              </w:rPr>
            </w:pPr>
          </w:p>
        </w:tc>
        <w:tc>
          <w:tcPr>
            <w:tcW w:w="1620" w:type="dxa"/>
            <w:vAlign w:val="bottom"/>
          </w:tcPr>
          <w:p>
            <w:pPr>
              <w:spacing w:after="0"/>
              <w:rPr>
                <w:sz w:val="20"/>
                <w:szCs w:val="20"/>
                <w:color w:val="auto"/>
              </w:rPr>
            </w:pPr>
            <w:r>
              <w:rPr>
                <w:rFonts w:ascii="Arial" w:cs="Arial" w:eastAsia="Arial" w:hAnsi="Arial"/>
                <w:sz w:val="19"/>
                <w:szCs w:val="19"/>
                <w:color w:val="auto"/>
              </w:rPr>
              <w:t>C. Turpin</w:t>
            </w:r>
          </w:p>
        </w:tc>
        <w:tc>
          <w:tcPr>
            <w:tcW w:w="30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19"/>
                <w:szCs w:val="19"/>
                <w:color w:val="auto"/>
              </w:rPr>
              <w:t>M. McKenna</w:t>
            </w:r>
          </w:p>
        </w:tc>
        <w:tc>
          <w:tcPr>
            <w:tcW w:w="28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19"/>
                <w:szCs w:val="19"/>
                <w:color w:val="auto"/>
              </w:rPr>
              <w:t>D. Young</w:t>
            </w:r>
          </w:p>
        </w:tc>
        <w:tc>
          <w:tcPr>
            <w:tcW w:w="300" w:type="dxa"/>
            <w:vAlign w:val="bottom"/>
          </w:tcPr>
          <w:p>
            <w:pPr>
              <w:spacing w:after="0"/>
              <w:rPr>
                <w:sz w:val="23"/>
                <w:szCs w:val="23"/>
                <w:color w:val="auto"/>
              </w:rPr>
            </w:pPr>
          </w:p>
        </w:tc>
        <w:tc>
          <w:tcPr>
            <w:tcW w:w="1660" w:type="dxa"/>
            <w:vAlign w:val="bottom"/>
          </w:tcPr>
          <w:p>
            <w:pPr>
              <w:ind w:left="20"/>
              <w:spacing w:after="0"/>
              <w:rPr>
                <w:sz w:val="20"/>
                <w:szCs w:val="20"/>
                <w:color w:val="auto"/>
              </w:rPr>
            </w:pPr>
            <w:r>
              <w:rPr>
                <w:rFonts w:ascii="Arial" w:cs="Arial" w:eastAsia="Arial" w:hAnsi="Arial"/>
                <w:sz w:val="19"/>
                <w:szCs w:val="19"/>
                <w:color w:val="auto"/>
              </w:rPr>
              <w:t>L. Petrucci**</w:t>
            </w:r>
          </w:p>
        </w:tc>
        <w:tc>
          <w:tcPr>
            <w:tcW w:w="300" w:type="dxa"/>
            <w:vAlign w:val="bottom"/>
          </w:tcPr>
          <w:p>
            <w:pPr>
              <w:spacing w:after="0"/>
              <w:rPr>
                <w:sz w:val="23"/>
                <w:szCs w:val="23"/>
                <w:color w:val="auto"/>
              </w:rPr>
            </w:pP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J. Preston</w:t>
            </w:r>
          </w:p>
        </w:tc>
      </w:tr>
      <w:tr>
        <w:trPr>
          <w:trHeight w:val="290"/>
        </w:trPr>
        <w:tc>
          <w:tcPr>
            <w:tcW w:w="16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9"/>
                <w:szCs w:val="19"/>
                <w:color w:val="auto"/>
              </w:rPr>
              <w:t>D. Young</w:t>
            </w: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D. Schwartz</w:t>
            </w: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9"/>
                <w:szCs w:val="19"/>
                <w:color w:val="auto"/>
              </w:rPr>
              <w:t>M. Serra**</w:t>
            </w: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C. Sinclair</w:t>
            </w:r>
          </w:p>
        </w:tc>
      </w:tr>
    </w:tbl>
    <w:p>
      <w:pPr>
        <w:spacing w:after="0" w:line="14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 Designates Committee Chair</w:t>
      </w:r>
    </w:p>
    <w:p>
      <w:pPr>
        <w:spacing w:after="0" w:line="133" w:lineRule="exact"/>
        <w:rPr>
          <w:sz w:val="20"/>
          <w:szCs w:val="20"/>
          <w:color w:val="auto"/>
        </w:rPr>
      </w:pPr>
    </w:p>
    <w:p>
      <w:pPr>
        <w:ind w:left="480" w:hanging="288"/>
        <w:spacing w:after="0"/>
        <w:tabs>
          <w:tab w:leader="none" w:pos="48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Designates Executive Officer of the Company</w:t>
      </w:r>
    </w:p>
    <w:p>
      <w:pPr>
        <w:spacing w:after="0" w:line="132" w:lineRule="exact"/>
        <w:rPr>
          <w:rFonts w:ascii="Arial" w:cs="Arial" w:eastAsia="Arial" w:hAnsi="Arial"/>
          <w:sz w:val="19"/>
          <w:szCs w:val="19"/>
          <w:color w:val="auto"/>
        </w:rPr>
      </w:pPr>
    </w:p>
    <w:p>
      <w:pPr>
        <w:ind w:left="480" w:hanging="385"/>
        <w:spacing w:after="0"/>
        <w:tabs>
          <w:tab w:leader="none" w:pos="480" w:val="left"/>
        </w:tabs>
        <w:numPr>
          <w:ilvl w:val="0"/>
          <w:numId w:val="18"/>
        </w:numPr>
        <w:rPr>
          <w:rFonts w:ascii="Arial" w:cs="Arial" w:eastAsia="Arial" w:hAnsi="Arial"/>
          <w:sz w:val="19"/>
          <w:szCs w:val="19"/>
          <w:color w:val="auto"/>
        </w:rPr>
      </w:pPr>
      <w:r>
        <w:rPr>
          <w:rFonts w:ascii="Arial" w:cs="Arial" w:eastAsia="Arial" w:hAnsi="Arial"/>
          <w:sz w:val="19"/>
          <w:szCs w:val="19"/>
          <w:color w:val="auto"/>
        </w:rPr>
        <w:t>Designates Committee Chair and Executive Officer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w:t>
      </w:r>
    </w:p>
    <w:p>
      <w:pPr>
        <w:spacing w:after="0" w:line="112" w:lineRule="exact"/>
        <w:rPr>
          <w:sz w:val="20"/>
          <w:szCs w:val="20"/>
          <w:color w:val="auto"/>
        </w:rPr>
      </w:pPr>
    </w:p>
    <w:p>
      <w:pPr>
        <w:ind w:firstLine="357"/>
        <w:spacing w:after="0" w:line="312" w:lineRule="auto"/>
        <w:rPr>
          <w:sz w:val="20"/>
          <w:szCs w:val="20"/>
          <w:color w:val="auto"/>
        </w:rPr>
      </w:pPr>
      <w:r>
        <w:rPr>
          <w:rFonts w:ascii="Arial" w:cs="Arial" w:eastAsia="Arial" w:hAnsi="Arial"/>
          <w:sz w:val="18"/>
          <w:szCs w:val="18"/>
          <w:color w:val="auto"/>
        </w:rPr>
        <w:t xml:space="preserve">The committee held eight meetings in 2007. The Audit Committee has a charter, which is available on the corporate governance section of our corporate web site at </w:t>
      </w:r>
      <w:r>
        <w:rPr>
          <w:rFonts w:ascii="Arial" w:cs="Arial" w:eastAsia="Arial" w:hAnsi="Arial"/>
          <w:sz w:val="18"/>
          <w:szCs w:val="18"/>
          <w:i w:val="1"/>
          <w:iCs w:val="1"/>
          <w:u w:val="single" w:color="auto"/>
          <w:color w:val="auto"/>
        </w:rPr>
        <w:t>http://www.footlocker-inc.com/ IR_index.htm</w:t>
      </w:r>
      <w:r>
        <w:rPr>
          <w:rFonts w:ascii="Arial" w:cs="Arial" w:eastAsia="Arial" w:hAnsi="Arial"/>
          <w:sz w:val="18"/>
          <w:szCs w:val="18"/>
          <w:color w:val="auto"/>
        </w:rPr>
        <w:t>. The report of the Audit Committee appears on Page 56.</w:t>
      </w:r>
    </w:p>
    <w:p>
      <w:pPr>
        <w:spacing w:after="0" w:line="29" w:lineRule="exact"/>
        <w:rPr>
          <w:sz w:val="20"/>
          <w:szCs w:val="20"/>
          <w:color w:val="auto"/>
        </w:rPr>
      </w:pPr>
    </w:p>
    <w:p>
      <w:pPr>
        <w:ind w:right="100" w:firstLine="357"/>
        <w:spacing w:after="0" w:line="344" w:lineRule="auto"/>
        <w:rPr>
          <w:sz w:val="20"/>
          <w:szCs w:val="20"/>
          <w:color w:val="auto"/>
        </w:rPr>
      </w:pPr>
      <w:r>
        <w:rPr>
          <w:rFonts w:ascii="Arial" w:cs="Arial" w:eastAsia="Arial" w:hAnsi="Arial"/>
          <w:sz w:val="17"/>
          <w:szCs w:val="17"/>
          <w:color w:val="auto"/>
        </w:rPr>
        <w:t>This committee appoints the independent accountants and the internal auditors and is responsible for approving the independent accountants’ and internal auditors’ compensation. This committee also assists the Board in fulfilling its oversight responsibilities in the following areas:</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accounting policies and practices,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7" w:name="page18"/>
    <w:bookmarkEnd w:id="17"/>
    <w:p>
      <w:pPr>
        <w:ind w:left="540" w:hanging="15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integrity of the Company’s financial statements,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compliance with legal and regulatory requirements,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qualifications, independence, and performance of the independent accountants, and</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qualifications and performance of the internal audit function.</w:t>
      </w:r>
    </w:p>
    <w:p>
      <w:pPr>
        <w:spacing w:after="0" w:line="335" w:lineRule="exact"/>
        <w:rPr>
          <w:sz w:val="20"/>
          <w:szCs w:val="20"/>
          <w:color w:val="auto"/>
        </w:rPr>
      </w:pPr>
    </w:p>
    <w:p>
      <w:pPr>
        <w:ind w:right="720" w:firstLine="357"/>
        <w:spacing w:after="0" w:line="283" w:lineRule="auto"/>
        <w:rPr>
          <w:sz w:val="20"/>
          <w:szCs w:val="20"/>
          <w:color w:val="auto"/>
        </w:rPr>
      </w:pPr>
      <w:r>
        <w:rPr>
          <w:rFonts w:ascii="Arial" w:cs="Arial" w:eastAsia="Arial" w:hAnsi="Arial"/>
          <w:sz w:val="19"/>
          <w:szCs w:val="19"/>
          <w:color w:val="auto"/>
        </w:rPr>
        <w:t>The Audit Committee has established procedures for the receipt, retention and treatment of complaints regarding accounting, internal accounting controls or auditing matters.</w:t>
      </w:r>
    </w:p>
    <w:p>
      <w:pPr>
        <w:spacing w:after="0" w:line="52"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The Board of Directors has determined that the Company has at least one audit committee financial expert, as defined under the rules of the Securities Exchange Act of 1934, serving on the Audit Committee. David Y. Schwartz has been designated as the audit committee financial expert. Mr. Schwartz is independent under the rules of The New York Stock Exchange and the Securities Exchange Act of 1934.</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and Management Resources Committee</w:t>
      </w:r>
    </w:p>
    <w:p>
      <w:pPr>
        <w:spacing w:after="0" w:line="12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 xml:space="preserve">The Compensation and Management Resources Committee (the “Compensation Committee”) held four meetings in 2007. The committee has a charter, which is available on the corporate governance section of the Company’s corporate web site at </w:t>
      </w:r>
      <w:r>
        <w:rPr>
          <w:rFonts w:ascii="Arial" w:cs="Arial" w:eastAsia="Arial" w:hAnsi="Arial"/>
          <w:sz w:val="19"/>
          <w:szCs w:val="19"/>
          <w:i w:val="1"/>
          <w:iCs w:val="1"/>
          <w:u w:val="single" w:color="auto"/>
          <w:color w:val="auto"/>
        </w:rPr>
        <w:t>http://www.footlocker-inc.com/IR_index.htm</w:t>
      </w:r>
      <w:r>
        <w:rPr>
          <w:rFonts w:ascii="Arial" w:cs="Arial" w:eastAsia="Arial" w:hAnsi="Arial"/>
          <w:sz w:val="19"/>
          <w:szCs w:val="19"/>
          <w:color w:val="auto"/>
        </w:rPr>
        <w:t>.</w:t>
      </w:r>
    </w:p>
    <w:p>
      <w:pPr>
        <w:spacing w:after="0" w:line="68"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The Compensation Committee determines all compensation for the Company’s executive management group, which consists of the executive officers and corporate officers, and determines significant elements of the compensation of the chief executive officers of our operating divisions. Decisions regarding equity compensation for other employees are also the Compensation Committee’s responsibility. Decisions regarding non-equity compensation of the Company’s other associates are made by the Company’s management.</w:t>
      </w:r>
    </w:p>
    <w:p>
      <w:pPr>
        <w:spacing w:after="0" w:line="44"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The Compensation Committee also administers Foot Locker’s various compensation plans, including the incentive plans, the equity-based compensation plans, the employees stock purchase plan, and the deferred compensation plan. Committee members are not eligible to participate in any of these plans. This committee also reviews and makes recommendations to the Board of Directors concerning executive development and succession, including for the position of Chief Executive Officer.</w:t>
      </w:r>
    </w:p>
    <w:p>
      <w:pPr>
        <w:spacing w:after="0" w:line="72"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The Compensation Committee normally holds two meetings each year to review and approve the executive compensation program, the Chief Executive Officer’s compensation, annual salaries and bonuses for the executive management group and division CEOs, and to grant equity awards. In addition, at another meeting during the year, the committee reviews directors’ compensation and makes recommendations to the Nominating and Corporate Governance Committee concerning the form and amount of directors’ compensation. Additional meetings of the Compensation Committee may be called during the year as necessary.</w:t>
      </w:r>
    </w:p>
    <w:p>
      <w:pPr>
        <w:spacing w:after="0" w:line="77" w:lineRule="exact"/>
        <w:rPr>
          <w:sz w:val="20"/>
          <w:szCs w:val="20"/>
          <w:color w:val="auto"/>
        </w:rPr>
      </w:pPr>
    </w:p>
    <w:p>
      <w:pPr>
        <w:ind w:right="180" w:firstLine="357"/>
        <w:spacing w:after="0" w:line="258" w:lineRule="auto"/>
        <w:rPr>
          <w:sz w:val="20"/>
          <w:szCs w:val="20"/>
          <w:color w:val="auto"/>
        </w:rPr>
      </w:pPr>
      <w:r>
        <w:rPr>
          <w:rFonts w:ascii="Arial" w:cs="Arial" w:eastAsia="Arial" w:hAnsi="Arial"/>
          <w:sz w:val="19"/>
          <w:szCs w:val="19"/>
          <w:color w:val="auto"/>
        </w:rPr>
        <w:t>The Compensation Committee has retained Mercer as its consultant on executive compensation matters and, with regard to executive and director compensation, Mercer reports directly to the Compensation Committee. Mercer also advises the committee on non-employee director compensation matters, including payment levels and trends. In preparing its material for the committee, Mercer consults with the Company’s Chairman of the Board and Chief Executive Officer, Senior Vice President–Human Resources, Senior Vice President and General Counsel, and Vice President–Human Resources. Separately, the Company retains Mercer for outsourcing services related to the administration of our U.S. and Canadian pension plans.</w:t>
      </w:r>
    </w:p>
    <w:p>
      <w:pPr>
        <w:spacing w:after="0" w:line="76" w:lineRule="exact"/>
        <w:rPr>
          <w:sz w:val="20"/>
          <w:szCs w:val="20"/>
          <w:color w:val="auto"/>
        </w:rPr>
      </w:pPr>
    </w:p>
    <w:p>
      <w:pPr>
        <w:ind w:right="240" w:firstLine="357"/>
        <w:spacing w:after="0" w:line="277" w:lineRule="auto"/>
        <w:rPr>
          <w:sz w:val="20"/>
          <w:szCs w:val="20"/>
          <w:color w:val="auto"/>
        </w:rPr>
      </w:pPr>
      <w:r>
        <w:rPr>
          <w:rFonts w:ascii="Arial" w:cs="Arial" w:eastAsia="Arial" w:hAnsi="Arial"/>
          <w:sz w:val="18"/>
          <w:szCs w:val="18"/>
          <w:color w:val="auto"/>
        </w:rPr>
        <w:t>Compensation Committee meeting agendas are developed by the committee chair in consultation with the Chief Executive Officer and the Corporate Secretary. Committee members may suggest agenda items by communicating with one of these individuals. Agendas and related materials are circulated to Committee members prior to meetings. The committee chair regularly reports on the committee’s meetings to the full Board. The Company’s CEO, Senior Vice President and General Counsel, Senior Vice President–Human Resources, Vice President–Human Resources, and Vice President and Associate General Counsel generally attend all meetings of the committee.</w:t>
      </w:r>
    </w:p>
    <w:p>
      <w:pPr>
        <w:spacing w:after="0" w:line="62" w:lineRule="exact"/>
        <w:rPr>
          <w:sz w:val="20"/>
          <w:szCs w:val="20"/>
          <w:color w:val="auto"/>
        </w:rPr>
      </w:pPr>
    </w:p>
    <w:p>
      <w:pPr>
        <w:ind w:right="480" w:firstLine="357"/>
        <w:spacing w:after="0" w:line="283" w:lineRule="auto"/>
        <w:rPr>
          <w:sz w:val="20"/>
          <w:szCs w:val="20"/>
          <w:color w:val="auto"/>
        </w:rPr>
      </w:pPr>
      <w:r>
        <w:rPr>
          <w:rFonts w:ascii="Arial" w:cs="Arial" w:eastAsia="Arial" w:hAnsi="Arial"/>
          <w:sz w:val="19"/>
          <w:szCs w:val="19"/>
          <w:color w:val="auto"/>
        </w:rPr>
        <w:t>The Compensation Committee has the authority to delegate authority and responsibilities as it considers appropriate. The committee has delegated to the Committee Chair the authority to approve</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18" w:name="page19"/>
    <w:bookmarkEnd w:id="18"/>
    <w:p>
      <w:pPr>
        <w:ind w:right="140"/>
        <w:spacing w:after="0" w:line="283" w:lineRule="auto"/>
        <w:rPr>
          <w:sz w:val="20"/>
          <w:szCs w:val="20"/>
          <w:color w:val="auto"/>
        </w:rPr>
      </w:pPr>
      <w:r>
        <w:rPr>
          <w:rFonts w:ascii="Arial" w:cs="Arial" w:eastAsia="Arial" w:hAnsi="Arial"/>
          <w:sz w:val="19"/>
          <w:szCs w:val="19"/>
          <w:color w:val="auto"/>
        </w:rPr>
        <w:t>stock option grants between meetings of the committee. This authority is limited to executives who are not subject to Section 16 of the Securities Exchange Act of 1934 and is further limited to individual option awards of 25,000 shares or less.</w:t>
      </w:r>
    </w:p>
    <w:p>
      <w:pPr>
        <w:spacing w:after="0" w:line="160" w:lineRule="exact"/>
        <w:rPr>
          <w:sz w:val="20"/>
          <w:szCs w:val="20"/>
          <w:color w:val="auto"/>
        </w:rPr>
      </w:pPr>
    </w:p>
    <w:p>
      <w:pPr>
        <w:ind w:right="620" w:firstLine="357"/>
        <w:spacing w:after="0" w:line="283" w:lineRule="auto"/>
        <w:rPr>
          <w:sz w:val="20"/>
          <w:szCs w:val="20"/>
          <w:color w:val="auto"/>
        </w:rPr>
      </w:pPr>
      <w:r>
        <w:rPr>
          <w:rFonts w:ascii="Arial" w:cs="Arial" w:eastAsia="Arial" w:hAnsi="Arial"/>
          <w:sz w:val="19"/>
          <w:szCs w:val="19"/>
          <w:color w:val="auto"/>
        </w:rPr>
        <w:t>The Company’s Corporate Human Resources Department and the Corporate Secretary’s staff support the Compensation Committee in performing its duties.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 Interlocks and Insider Participation</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Purdy Crawford, Alan D. Feldman, Philip H. Geier Jr., James E. Preston, Christopher A. Sinclair and Cheryl Turpin served on the Compensation and Management Resources Committee during 2007. Messrs. Crawford and Geier retired at the 2007 annual shareholders’ meeting. None of the committee members was an officer or employee of the Company or any of its subsidiaries, and there were no interlocks with other companies within the meaning of the SEC’s proxy rules.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Executive Committee</w:t>
      </w:r>
    </w:p>
    <w:p>
      <w:pPr>
        <w:spacing w:after="0" w:line="112"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The Executive Committee did not meet in 2007. Except for certain matters reserved to the Board, this committee has all of the powers of the Board in the management of the business of the Company during intervals between Board meetings.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Finance and Strategic Planning Committee</w:t>
      </w:r>
    </w:p>
    <w:p>
      <w:pPr>
        <w:spacing w:after="0" w:line="125"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The Finance and Strategic Planning Committee held four meetings in 2007. This committee reviews the overall strategic and financial plans of the Company, including capital expenditure plans, proposed debt or equity issues of the Company, and the Company’s capital structure. The committee also considers and makes recommendations to the Board of Directors concerning dividend payments and share repurchases, and reviews acquisition and divestiture proposals.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Nominating and Corporate Governance Committee</w:t>
      </w:r>
    </w:p>
    <w:p>
      <w:pPr>
        <w:spacing w:after="0" w:line="125" w:lineRule="exact"/>
        <w:rPr>
          <w:sz w:val="20"/>
          <w:szCs w:val="20"/>
          <w:color w:val="auto"/>
        </w:rPr>
      </w:pPr>
    </w:p>
    <w:p>
      <w:pPr>
        <w:ind w:right="140" w:firstLine="357"/>
        <w:spacing w:after="0" w:line="273" w:lineRule="auto"/>
        <w:rPr>
          <w:sz w:val="20"/>
          <w:szCs w:val="20"/>
          <w:color w:val="auto"/>
        </w:rPr>
      </w:pPr>
      <w:r>
        <w:rPr>
          <w:rFonts w:ascii="Arial" w:cs="Arial" w:eastAsia="Arial" w:hAnsi="Arial"/>
          <w:sz w:val="18"/>
          <w:szCs w:val="18"/>
          <w:color w:val="auto"/>
        </w:rPr>
        <w:t>The Nominating and Corporate Governance Committee held three meetings in 2007. This committee has responsibility for overseeing corporate governance matters affecting the Company, including developing and recommending criteria and policies relating to service and tenure of directors. The committee is responsible for collecting the names of potential nominees to the Board, reviewing the background and qualifications of potential candidates for Board membership, and making recommendations to the Board for the nomination and election of directors. The committee also reviews membership on the Board committees and makes recommendations on committee members and chairs. In addition, the committee reviews recommendations from the Compensation and Management Resources Committee and makes recommendations to the Board concerning the form and amount of directors’ compensation.</w:t>
      </w:r>
    </w:p>
    <w:p>
      <w:pPr>
        <w:spacing w:after="0" w:line="67" w:lineRule="exact"/>
        <w:rPr>
          <w:sz w:val="20"/>
          <w:szCs w:val="20"/>
          <w:color w:val="auto"/>
        </w:rPr>
      </w:pPr>
    </w:p>
    <w:p>
      <w:pPr>
        <w:ind w:right="460" w:firstLine="357"/>
        <w:spacing w:after="0" w:line="259" w:lineRule="auto"/>
        <w:rPr>
          <w:sz w:val="20"/>
          <w:szCs w:val="20"/>
          <w:color w:val="auto"/>
        </w:rPr>
      </w:pPr>
      <w:r>
        <w:rPr>
          <w:rFonts w:ascii="Arial" w:cs="Arial" w:eastAsia="Arial" w:hAnsi="Arial"/>
          <w:sz w:val="19"/>
          <w:szCs w:val="19"/>
          <w:color w:val="auto"/>
        </w:rPr>
        <w:t>The Nominating and Corporate Governance Committee may establish criteria for candidates for Board membership. These criteria may include area of expertise, diversity of experience, independence, commitment to representing the long-term interests of the Company’s stakeholders, and other relevant factors, taking into consideration the needs of the Board and the Company and the mix of expertise and experience among current directors. From time to time the committee may retain the services of a third party search firm to identify potential director candidates.</w:t>
      </w:r>
    </w:p>
    <w:p>
      <w:pPr>
        <w:spacing w:after="0" w:line="77" w:lineRule="exact"/>
        <w:rPr>
          <w:sz w:val="20"/>
          <w:szCs w:val="20"/>
          <w:color w:val="auto"/>
        </w:rPr>
      </w:pPr>
    </w:p>
    <w:p>
      <w:pPr>
        <w:ind w:right="420" w:firstLine="357"/>
        <w:spacing w:after="0" w:line="267" w:lineRule="auto"/>
        <w:rPr>
          <w:sz w:val="20"/>
          <w:szCs w:val="20"/>
          <w:color w:val="auto"/>
        </w:rPr>
      </w:pPr>
      <w:r>
        <w:rPr>
          <w:rFonts w:ascii="Arial" w:cs="Arial" w:eastAsia="Arial" w:hAnsi="Arial"/>
          <w:sz w:val="19"/>
          <w:szCs w:val="19"/>
          <w:color w:val="auto"/>
        </w:rPr>
        <w:t>The committee will consider nominees to the Board of Directors recommended by shareholders that comply with the provisions of the Company’s By-Laws and relevant law, regulation, and stock exchange rules. The procedures for shareholders to follow to propose a potential director candidate are described on Page 59.</w:t>
      </w:r>
    </w:p>
    <w:p>
      <w:pPr>
        <w:spacing w:after="0" w:line="68" w:lineRule="exact"/>
        <w:rPr>
          <w:sz w:val="20"/>
          <w:szCs w:val="20"/>
          <w:color w:val="auto"/>
        </w:rPr>
      </w:pPr>
    </w:p>
    <w:p>
      <w:pPr>
        <w:ind w:right="260" w:firstLine="357"/>
        <w:spacing w:after="0" w:line="262" w:lineRule="auto"/>
        <w:rPr>
          <w:sz w:val="20"/>
          <w:szCs w:val="20"/>
          <w:color w:val="auto"/>
        </w:rPr>
      </w:pPr>
      <w:r>
        <w:rPr>
          <w:rFonts w:ascii="Arial" w:cs="Arial" w:eastAsia="Arial" w:hAnsi="Arial"/>
          <w:sz w:val="19"/>
          <w:szCs w:val="19"/>
          <w:color w:val="auto"/>
        </w:rPr>
        <w:t>After a potential nominee is identified, the Committee Chair will review his or her biographical information and discuss with the other members of the committee whether to request additional information about the individual or to schedule a meeting with the potential candidate. The committee’s screening process for director candidates is the same regardless of the source who identified the potential candidate. The committee’s determination on whether to proceed with a formal</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9" w:name="page20"/>
    <w:bookmarkEnd w:id="19"/>
    <w:p>
      <w:pPr>
        <w:ind w:right="180"/>
        <w:spacing w:after="0" w:line="283" w:lineRule="auto"/>
        <w:rPr>
          <w:sz w:val="20"/>
          <w:szCs w:val="20"/>
          <w:color w:val="auto"/>
        </w:rPr>
      </w:pPr>
      <w:r>
        <w:rPr>
          <w:rFonts w:ascii="Arial" w:cs="Arial" w:eastAsia="Arial" w:hAnsi="Arial"/>
          <w:sz w:val="19"/>
          <w:szCs w:val="19"/>
          <w:color w:val="auto"/>
        </w:rPr>
        <w:t>evaluation of a potential candidate is based on the person’s experience and qualifications, as well as the current composition of the Board and its anticipated future needs.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Retirement Plan Committee</w:t>
      </w:r>
    </w:p>
    <w:p>
      <w:pPr>
        <w:spacing w:after="0" w:line="125"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The Retirement Plan Committee held four meetings in 2007. This committee is responsible for supervising the investment of the assets of the Company’s United States retirement plans and appointing, reviewing the performance of and, if appropriate, replacing, the trustee of the Company’s pension trust and the investment manager responsible for managing the funds of the trust. The committee also has certain administrative responsibilities for our United States retirement plans.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RELATED PERSON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Policies and Procedures</w:t>
      </w:r>
    </w:p>
    <w:p>
      <w:pPr>
        <w:spacing w:after="0" w:line="125"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We individually inquire of each of our directors and executive officers about any transactions in which Foot Locker and any of these related persons or their immediate family members are participants. We also make inquiries within the Company’s records for information on any of these kinds of transactions. Once we gather the information, we then review all relationships and transactions in which Foot Locker and any of our directors, executive officers or their immediate family members are participants to determine, based on the facts and circumstances, whether the Company or the related persons have a direct or indirect material interest. The General Counsel’s office coordinates the related party review process. The Nominating and Corporate Governance Committee reviews any reported transactions involving directors and their immediate families in making its recommendation to the Board of Directors on the independence of the directors.</w:t>
      </w: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Related Person Transactions</w:t>
      </w:r>
    </w:p>
    <w:p>
      <w:pPr>
        <w:spacing w:after="0" w:line="125"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Foot Locker and its subsidiaries have had transactions in the normal course of business with various other organizations, including certain organizations whose directors or officers are also directors of Foot Locker. However, the amounts involved in these transactions have not been material in relation to our business, and it is believed that these amounts have not been material in relation to the businesses of the other organizations. In addition, it is believed that these transactions have been on terms no less favorable to the Company than if they had been entered into with disinterested parties. It is anticipated that transactions with such other organizations will continue in the future. Mr. Serra’s son-in-law is employed as a buyer in the Company’s Foot Locker division, and the Company provided compensation and benefits to him in 2007 of approximately $143,000.</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DIRECTORS’ COMPENSATION AND BENEFITS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w:t>
      </w:r>
    </w:p>
    <w:p>
      <w:pPr>
        <w:spacing w:after="0" w:line="125"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Non-employee directors are paid an annual retainer fee and meeting fees for attendance at each Board and committee meeting. The lead director and the committee chairs are paid an additional retainer fee for service in these capacities. We do not pay additional compensation to any director who is also an employee of the Company for service on the Board or any committee. The following table summarizes the fees paid to the non-employee directors.</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20" w:name="page21"/>
    <w:bookmarkEnd w:id="20"/>
    <w:tbl>
      <w:tblPr>
        <w:tblLayout w:type="fixed"/>
        <w:tblInd w:w="510" w:type="dxa"/>
        <w:tblCellMar>
          <w:top w:w="0" w:type="dxa"/>
          <w:left w:w="0" w:type="dxa"/>
          <w:bottom w:w="0" w:type="dxa"/>
          <w:right w:w="0" w:type="dxa"/>
        </w:tblCellMar>
      </w:tblPr>
      <w:tr>
        <w:trPr>
          <w:trHeight w:val="547"/>
        </w:trPr>
        <w:tc>
          <w:tcPr>
            <w:tcW w:w="290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9"/>
                <w:szCs w:val="19"/>
                <w:b w:val="1"/>
                <w:bCs w:val="1"/>
                <w:color w:val="auto"/>
              </w:rPr>
              <w:t>Annual Retainer</w:t>
            </w:r>
          </w:p>
        </w:tc>
        <w:tc>
          <w:tcPr>
            <w:tcW w:w="1260" w:type="dxa"/>
            <w:vAlign w:val="bottom"/>
            <w:tcBorders>
              <w:top w:val="single" w:sz="8" w:color="auto"/>
            </w:tcBorders>
          </w:tcPr>
          <w:p>
            <w:pPr>
              <w:ind w:left="540"/>
              <w:spacing w:after="0"/>
              <w:rPr>
                <w:sz w:val="20"/>
                <w:szCs w:val="20"/>
                <w:color w:val="auto"/>
              </w:rPr>
            </w:pPr>
            <w:r>
              <w:rPr>
                <w:rFonts w:ascii="Arial" w:cs="Arial" w:eastAsia="Arial" w:hAnsi="Arial"/>
                <w:sz w:val="19"/>
                <w:szCs w:val="19"/>
                <w:color w:val="auto"/>
                <w:w w:val="88"/>
              </w:rPr>
              <w:t>$100,000</w:t>
            </w:r>
          </w:p>
        </w:tc>
        <w:tc>
          <w:tcPr>
            <w:tcW w:w="6260" w:type="dxa"/>
            <w:vAlign w:val="bottom"/>
            <w:tcBorders>
              <w:top w:val="single" w:sz="8" w:color="auto"/>
              <w:right w:val="single" w:sz="8" w:color="auto"/>
            </w:tcBorders>
          </w:tcPr>
          <w:p>
            <w:pPr>
              <w:spacing w:after="0"/>
              <w:rPr>
                <w:sz w:val="24"/>
                <w:szCs w:val="24"/>
                <w:color w:val="auto"/>
              </w:rPr>
            </w:pPr>
          </w:p>
        </w:tc>
      </w:tr>
      <w:tr>
        <w:trPr>
          <w:trHeight w:val="239"/>
        </w:trPr>
        <w:tc>
          <w:tcPr>
            <w:tcW w:w="29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gridSpan w:val="2"/>
          </w:tcPr>
          <w:p>
            <w:pPr>
              <w:ind w:left="540"/>
              <w:spacing w:after="0"/>
              <w:rPr>
                <w:sz w:val="20"/>
                <w:szCs w:val="20"/>
                <w:color w:val="auto"/>
              </w:rPr>
            </w:pPr>
            <w:r>
              <w:rPr>
                <w:rFonts w:ascii="Arial" w:cs="Arial" w:eastAsia="Arial" w:hAnsi="Arial"/>
                <w:sz w:val="19"/>
                <w:szCs w:val="19"/>
                <w:color w:val="auto"/>
              </w:rPr>
              <w:t>The annual retainer is payable 50 percent in cash and 50 percent in shares of our</w:t>
            </w:r>
          </w:p>
        </w:tc>
      </w:tr>
      <w:tr>
        <w:trPr>
          <w:trHeight w:val="230"/>
        </w:trPr>
        <w:tc>
          <w:tcPr>
            <w:tcW w:w="2900" w:type="dxa"/>
            <w:vAlign w:val="bottom"/>
            <w:tcBorders>
              <w:left w:val="single" w:sz="8" w:color="auto"/>
            </w:tcBorders>
          </w:tcPr>
          <w:p>
            <w:pPr>
              <w:spacing w:after="0"/>
              <w:rPr>
                <w:sz w:val="19"/>
                <w:szCs w:val="19"/>
                <w:color w:val="auto"/>
              </w:rPr>
            </w:pPr>
          </w:p>
        </w:tc>
        <w:tc>
          <w:tcPr>
            <w:tcW w:w="7520" w:type="dxa"/>
            <w:vAlign w:val="bottom"/>
            <w:tcBorders>
              <w:right w:val="single" w:sz="8" w:color="auto"/>
            </w:tcBorders>
            <w:gridSpan w:val="2"/>
          </w:tcPr>
          <w:p>
            <w:pPr>
              <w:ind w:left="540"/>
              <w:spacing w:after="0"/>
              <w:rPr>
                <w:sz w:val="20"/>
                <w:szCs w:val="20"/>
                <w:color w:val="auto"/>
              </w:rPr>
            </w:pPr>
            <w:r>
              <w:rPr>
                <w:rFonts w:ascii="Arial" w:cs="Arial" w:eastAsia="Arial" w:hAnsi="Arial"/>
                <w:sz w:val="19"/>
                <w:szCs w:val="19"/>
                <w:color w:val="auto"/>
                <w:w w:val="93"/>
              </w:rPr>
              <w:t>Common Stock. Directors may elect to receive up to 100 percent of their annual retainer,</w:t>
            </w:r>
          </w:p>
        </w:tc>
      </w:tr>
      <w:tr>
        <w:trPr>
          <w:trHeight w:val="247"/>
        </w:trPr>
        <w:tc>
          <w:tcPr>
            <w:tcW w:w="2900" w:type="dxa"/>
            <w:vAlign w:val="bottom"/>
            <w:tcBorders>
              <w:left w:val="single" w:sz="8" w:color="auto"/>
            </w:tcBorders>
          </w:tcPr>
          <w:p>
            <w:pPr>
              <w:spacing w:after="0"/>
              <w:rPr>
                <w:sz w:val="21"/>
                <w:szCs w:val="21"/>
                <w:color w:val="auto"/>
              </w:rPr>
            </w:pPr>
          </w:p>
        </w:tc>
        <w:tc>
          <w:tcPr>
            <w:tcW w:w="7520" w:type="dxa"/>
            <w:vAlign w:val="bottom"/>
            <w:tcBorders>
              <w:right w:val="single" w:sz="8" w:color="auto"/>
            </w:tcBorders>
            <w:gridSpan w:val="2"/>
          </w:tcPr>
          <w:p>
            <w:pPr>
              <w:ind w:left="540"/>
              <w:spacing w:after="0"/>
              <w:rPr>
                <w:sz w:val="20"/>
                <w:szCs w:val="20"/>
                <w:color w:val="auto"/>
              </w:rPr>
            </w:pPr>
            <w:r>
              <w:rPr>
                <w:rFonts w:ascii="Arial" w:cs="Arial" w:eastAsia="Arial" w:hAnsi="Arial"/>
                <w:sz w:val="19"/>
                <w:szCs w:val="19"/>
                <w:color w:val="auto"/>
              </w:rPr>
              <w:t>including committee chair retainer, in stock.</w:t>
            </w:r>
          </w:p>
        </w:tc>
      </w:tr>
      <w:tr>
        <w:trPr>
          <w:trHeight w:val="239"/>
        </w:trPr>
        <w:tc>
          <w:tcPr>
            <w:tcW w:w="29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gridSpan w:val="2"/>
          </w:tcPr>
          <w:p>
            <w:pPr>
              <w:ind w:left="540"/>
              <w:spacing w:after="0"/>
              <w:rPr>
                <w:sz w:val="20"/>
                <w:szCs w:val="20"/>
                <w:color w:val="auto"/>
              </w:rPr>
            </w:pPr>
            <w:r>
              <w:rPr>
                <w:rFonts w:ascii="Arial" w:cs="Arial" w:eastAsia="Arial" w:hAnsi="Arial"/>
                <w:sz w:val="19"/>
                <w:szCs w:val="19"/>
                <w:color w:val="auto"/>
              </w:rPr>
              <w:t>We calculate the number of shares paid to the directors for their annual retainer by</w:t>
            </w:r>
          </w:p>
        </w:tc>
      </w:tr>
      <w:tr>
        <w:trPr>
          <w:trHeight w:val="230"/>
        </w:trPr>
        <w:tc>
          <w:tcPr>
            <w:tcW w:w="2900" w:type="dxa"/>
            <w:vAlign w:val="bottom"/>
            <w:tcBorders>
              <w:left w:val="single" w:sz="8" w:color="auto"/>
            </w:tcBorders>
          </w:tcPr>
          <w:p>
            <w:pPr>
              <w:spacing w:after="0"/>
              <w:rPr>
                <w:sz w:val="19"/>
                <w:szCs w:val="19"/>
                <w:color w:val="auto"/>
              </w:rPr>
            </w:pPr>
          </w:p>
        </w:tc>
        <w:tc>
          <w:tcPr>
            <w:tcW w:w="7520" w:type="dxa"/>
            <w:vAlign w:val="bottom"/>
            <w:tcBorders>
              <w:right w:val="single" w:sz="8" w:color="auto"/>
            </w:tcBorders>
            <w:gridSpan w:val="2"/>
          </w:tcPr>
          <w:p>
            <w:pPr>
              <w:ind w:left="540"/>
              <w:spacing w:after="0"/>
              <w:rPr>
                <w:sz w:val="20"/>
                <w:szCs w:val="20"/>
                <w:color w:val="auto"/>
              </w:rPr>
            </w:pPr>
            <w:r>
              <w:rPr>
                <w:rFonts w:ascii="Arial" w:cs="Arial" w:eastAsia="Arial" w:hAnsi="Arial"/>
                <w:sz w:val="19"/>
                <w:szCs w:val="19"/>
                <w:color w:val="auto"/>
                <w:w w:val="93"/>
              </w:rPr>
              <w:t>dividing their retainer fee by the closing price of a share of our stock on the last business</w:t>
            </w:r>
          </w:p>
        </w:tc>
      </w:tr>
      <w:tr>
        <w:trPr>
          <w:trHeight w:val="247"/>
        </w:trPr>
        <w:tc>
          <w:tcPr>
            <w:tcW w:w="2900" w:type="dxa"/>
            <w:vAlign w:val="bottom"/>
            <w:tcBorders>
              <w:left w:val="single" w:sz="8" w:color="auto"/>
            </w:tcBorders>
          </w:tcPr>
          <w:p>
            <w:pPr>
              <w:spacing w:after="0"/>
              <w:rPr>
                <w:sz w:val="21"/>
                <w:szCs w:val="21"/>
                <w:color w:val="auto"/>
              </w:rPr>
            </w:pPr>
          </w:p>
        </w:tc>
        <w:tc>
          <w:tcPr>
            <w:tcW w:w="7520" w:type="dxa"/>
            <w:vAlign w:val="bottom"/>
            <w:tcBorders>
              <w:right w:val="single" w:sz="8" w:color="auto"/>
            </w:tcBorders>
            <w:gridSpan w:val="2"/>
          </w:tcPr>
          <w:p>
            <w:pPr>
              <w:ind w:left="540"/>
              <w:spacing w:after="0"/>
              <w:rPr>
                <w:sz w:val="20"/>
                <w:szCs w:val="20"/>
                <w:color w:val="auto"/>
              </w:rPr>
            </w:pPr>
            <w:r>
              <w:rPr>
                <w:rFonts w:ascii="Arial" w:cs="Arial" w:eastAsia="Arial" w:hAnsi="Arial"/>
                <w:sz w:val="19"/>
                <w:szCs w:val="19"/>
                <w:color w:val="auto"/>
              </w:rPr>
              <w:t>day preceding the July 1 payment date.</w:t>
            </w:r>
          </w:p>
        </w:tc>
      </w:tr>
      <w:tr>
        <w:trPr>
          <w:trHeight w:val="50"/>
        </w:trPr>
        <w:tc>
          <w:tcPr>
            <w:tcW w:w="2900" w:type="dxa"/>
            <w:vAlign w:val="bottom"/>
            <w:tcBorders>
              <w:left w:val="single" w:sz="8" w:color="auto"/>
              <w:bottom w:val="single" w:sz="8" w:color="auto"/>
            </w:tcBorders>
          </w:tcPr>
          <w:p>
            <w:pPr>
              <w:spacing w:after="0"/>
              <w:rPr>
                <w:sz w:val="4"/>
                <w:szCs w:val="4"/>
                <w:color w:val="auto"/>
              </w:rPr>
            </w:pPr>
          </w:p>
        </w:tc>
        <w:tc>
          <w:tcPr>
            <w:tcW w:w="7520" w:type="dxa"/>
            <w:vAlign w:val="bottom"/>
            <w:tcBorders>
              <w:bottom w:val="single" w:sz="8" w:color="auto"/>
              <w:right w:val="single" w:sz="8" w:color="auto"/>
            </w:tcBorders>
            <w:gridSpan w:val="2"/>
          </w:tcPr>
          <w:p>
            <w:pPr>
              <w:spacing w:after="0"/>
              <w:rPr>
                <w:sz w:val="4"/>
                <w:szCs w:val="4"/>
                <w:color w:val="auto"/>
              </w:rPr>
            </w:pPr>
          </w:p>
        </w:tc>
      </w:tr>
      <w:tr>
        <w:trPr>
          <w:trHeight w:val="254"/>
        </w:trPr>
        <w:tc>
          <w:tcPr>
            <w:tcW w:w="2900" w:type="dxa"/>
            <w:vAlign w:val="bottom"/>
            <w:tcBorders>
              <w:left w:val="single" w:sz="8" w:color="auto"/>
            </w:tcBorders>
          </w:tcPr>
          <w:p>
            <w:pPr>
              <w:ind w:left="80"/>
              <w:spacing w:after="0"/>
              <w:rPr>
                <w:sz w:val="20"/>
                <w:szCs w:val="20"/>
                <w:color w:val="auto"/>
              </w:rPr>
            </w:pPr>
            <w:r>
              <w:rPr>
                <w:rFonts w:ascii="Arial" w:cs="Arial" w:eastAsia="Arial" w:hAnsi="Arial"/>
                <w:sz w:val="19"/>
                <w:szCs w:val="19"/>
                <w:b w:val="1"/>
                <w:bCs w:val="1"/>
                <w:color w:val="auto"/>
              </w:rPr>
              <w:t>Committee Chair Retainers</w:t>
            </w:r>
          </w:p>
        </w:tc>
        <w:tc>
          <w:tcPr>
            <w:tcW w:w="7520" w:type="dxa"/>
            <w:vAlign w:val="bottom"/>
            <w:tcBorders>
              <w:right w:val="single" w:sz="8" w:color="auto"/>
            </w:tcBorders>
            <w:gridSpan w:val="2"/>
          </w:tcPr>
          <w:p>
            <w:pPr>
              <w:ind w:left="540"/>
              <w:spacing w:after="0"/>
              <w:rPr>
                <w:sz w:val="20"/>
                <w:szCs w:val="20"/>
                <w:color w:val="auto"/>
              </w:rPr>
            </w:pPr>
            <w:r>
              <w:rPr>
                <w:rFonts w:ascii="Arial" w:cs="Arial" w:eastAsia="Arial" w:hAnsi="Arial"/>
                <w:sz w:val="19"/>
                <w:szCs w:val="19"/>
                <w:color w:val="auto"/>
              </w:rPr>
              <w:t>$20,000: Audit Committee</w:t>
            </w:r>
          </w:p>
        </w:tc>
      </w:tr>
      <w:tr>
        <w:trPr>
          <w:trHeight w:val="270"/>
        </w:trPr>
        <w:tc>
          <w:tcPr>
            <w:tcW w:w="2900" w:type="dxa"/>
            <w:vAlign w:val="bottom"/>
            <w:tcBorders>
              <w:left w:val="single" w:sz="8" w:color="auto"/>
            </w:tcBorders>
          </w:tcPr>
          <w:p>
            <w:pPr>
              <w:spacing w:after="0"/>
              <w:rPr>
                <w:sz w:val="23"/>
                <w:szCs w:val="23"/>
                <w:color w:val="auto"/>
              </w:rPr>
            </w:pPr>
          </w:p>
        </w:tc>
        <w:tc>
          <w:tcPr>
            <w:tcW w:w="7520" w:type="dxa"/>
            <w:vAlign w:val="bottom"/>
            <w:tcBorders>
              <w:right w:val="single" w:sz="8" w:color="auto"/>
            </w:tcBorders>
            <w:gridSpan w:val="2"/>
          </w:tcPr>
          <w:p>
            <w:pPr>
              <w:ind w:left="540"/>
              <w:spacing w:after="0"/>
              <w:rPr>
                <w:sz w:val="20"/>
                <w:szCs w:val="20"/>
                <w:color w:val="auto"/>
              </w:rPr>
            </w:pPr>
            <w:r>
              <w:rPr>
                <w:rFonts w:ascii="Arial" w:cs="Arial" w:eastAsia="Arial" w:hAnsi="Arial"/>
                <w:sz w:val="19"/>
                <w:szCs w:val="19"/>
                <w:color w:val="auto"/>
              </w:rPr>
              <w:t>$10,000: Compensation and Management Resources Committee</w:t>
            </w:r>
          </w:p>
        </w:tc>
      </w:tr>
      <w:tr>
        <w:trPr>
          <w:trHeight w:val="270"/>
        </w:trPr>
        <w:tc>
          <w:tcPr>
            <w:tcW w:w="2900" w:type="dxa"/>
            <w:vAlign w:val="bottom"/>
            <w:tcBorders>
              <w:left w:val="single" w:sz="8" w:color="auto"/>
            </w:tcBorders>
          </w:tcPr>
          <w:p>
            <w:pPr>
              <w:spacing w:after="0"/>
              <w:rPr>
                <w:sz w:val="23"/>
                <w:szCs w:val="23"/>
                <w:color w:val="auto"/>
              </w:rPr>
            </w:pPr>
          </w:p>
        </w:tc>
        <w:tc>
          <w:tcPr>
            <w:tcW w:w="7520" w:type="dxa"/>
            <w:vAlign w:val="bottom"/>
            <w:tcBorders>
              <w:right w:val="single" w:sz="8" w:color="auto"/>
            </w:tcBorders>
            <w:gridSpan w:val="2"/>
          </w:tcPr>
          <w:p>
            <w:pPr>
              <w:ind w:left="540"/>
              <w:spacing w:after="0"/>
              <w:rPr>
                <w:sz w:val="20"/>
                <w:szCs w:val="20"/>
                <w:color w:val="auto"/>
              </w:rPr>
            </w:pPr>
            <w:r>
              <w:rPr>
                <w:rFonts w:ascii="Arial" w:cs="Arial" w:eastAsia="Arial" w:hAnsi="Arial"/>
                <w:sz w:val="19"/>
                <w:szCs w:val="19"/>
                <w:color w:val="auto"/>
              </w:rPr>
              <w:t>$10,000: Finance and Strategic Planning Committee</w:t>
            </w:r>
          </w:p>
        </w:tc>
      </w:tr>
      <w:tr>
        <w:trPr>
          <w:trHeight w:val="270"/>
        </w:trPr>
        <w:tc>
          <w:tcPr>
            <w:tcW w:w="2900" w:type="dxa"/>
            <w:vAlign w:val="bottom"/>
            <w:tcBorders>
              <w:left w:val="single" w:sz="8" w:color="auto"/>
            </w:tcBorders>
          </w:tcPr>
          <w:p>
            <w:pPr>
              <w:spacing w:after="0"/>
              <w:rPr>
                <w:sz w:val="23"/>
                <w:szCs w:val="23"/>
                <w:color w:val="auto"/>
              </w:rPr>
            </w:pPr>
          </w:p>
        </w:tc>
        <w:tc>
          <w:tcPr>
            <w:tcW w:w="7520" w:type="dxa"/>
            <w:vAlign w:val="bottom"/>
            <w:tcBorders>
              <w:right w:val="single" w:sz="8" w:color="auto"/>
            </w:tcBorders>
            <w:gridSpan w:val="2"/>
          </w:tcPr>
          <w:p>
            <w:pPr>
              <w:ind w:left="540"/>
              <w:spacing w:after="0"/>
              <w:rPr>
                <w:sz w:val="20"/>
                <w:szCs w:val="20"/>
                <w:color w:val="auto"/>
              </w:rPr>
            </w:pPr>
            <w:r>
              <w:rPr>
                <w:rFonts w:ascii="Arial" w:cs="Arial" w:eastAsia="Arial" w:hAnsi="Arial"/>
                <w:sz w:val="19"/>
                <w:szCs w:val="19"/>
                <w:color w:val="auto"/>
              </w:rPr>
              <w:t>$10,000: Nominating and Corporate Governance Committee</w:t>
            </w:r>
          </w:p>
        </w:tc>
      </w:tr>
      <w:tr>
        <w:trPr>
          <w:trHeight w:val="270"/>
        </w:trPr>
        <w:tc>
          <w:tcPr>
            <w:tcW w:w="2900" w:type="dxa"/>
            <w:vAlign w:val="bottom"/>
            <w:tcBorders>
              <w:left w:val="single" w:sz="8" w:color="auto"/>
            </w:tcBorders>
          </w:tcPr>
          <w:p>
            <w:pPr>
              <w:spacing w:after="0"/>
              <w:rPr>
                <w:sz w:val="23"/>
                <w:szCs w:val="23"/>
                <w:color w:val="auto"/>
              </w:rPr>
            </w:pPr>
          </w:p>
        </w:tc>
        <w:tc>
          <w:tcPr>
            <w:tcW w:w="7520" w:type="dxa"/>
            <w:vAlign w:val="bottom"/>
            <w:tcBorders>
              <w:right w:val="single" w:sz="8" w:color="auto"/>
            </w:tcBorders>
            <w:gridSpan w:val="2"/>
          </w:tcPr>
          <w:p>
            <w:pPr>
              <w:ind w:left="540"/>
              <w:spacing w:after="0"/>
              <w:rPr>
                <w:sz w:val="20"/>
                <w:szCs w:val="20"/>
                <w:color w:val="auto"/>
              </w:rPr>
            </w:pPr>
            <w:r>
              <w:rPr>
                <w:rFonts w:ascii="Arial" w:cs="Arial" w:eastAsia="Arial" w:hAnsi="Arial"/>
                <w:sz w:val="19"/>
                <w:szCs w:val="19"/>
                <w:color w:val="auto"/>
              </w:rPr>
              <w:t>$10,000: Retirement Plan Committee</w:t>
            </w:r>
          </w:p>
        </w:tc>
      </w:tr>
      <w:tr>
        <w:trPr>
          <w:trHeight w:val="270"/>
        </w:trPr>
        <w:tc>
          <w:tcPr>
            <w:tcW w:w="2900" w:type="dxa"/>
            <w:vAlign w:val="bottom"/>
            <w:tcBorders>
              <w:left w:val="single" w:sz="8" w:color="auto"/>
            </w:tcBorders>
          </w:tcPr>
          <w:p>
            <w:pPr>
              <w:spacing w:after="0"/>
              <w:rPr>
                <w:sz w:val="23"/>
                <w:szCs w:val="23"/>
                <w:color w:val="auto"/>
              </w:rPr>
            </w:pPr>
          </w:p>
        </w:tc>
        <w:tc>
          <w:tcPr>
            <w:tcW w:w="1260" w:type="dxa"/>
            <w:vAlign w:val="bottom"/>
          </w:tcPr>
          <w:p>
            <w:pPr>
              <w:ind w:left="540"/>
              <w:spacing w:after="0"/>
              <w:rPr>
                <w:sz w:val="20"/>
                <w:szCs w:val="20"/>
                <w:color w:val="auto"/>
              </w:rPr>
            </w:pPr>
            <w:r>
              <w:rPr>
                <w:rFonts w:ascii="Arial" w:cs="Arial" w:eastAsia="Arial" w:hAnsi="Arial"/>
                <w:sz w:val="19"/>
                <w:szCs w:val="19"/>
                <w:color w:val="auto"/>
              </w:rPr>
              <w:t>N/A:</w:t>
            </w:r>
          </w:p>
        </w:tc>
        <w:tc>
          <w:tcPr>
            <w:tcW w:w="62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Executive Committee</w:t>
            </w:r>
          </w:p>
        </w:tc>
      </w:tr>
      <w:tr>
        <w:trPr>
          <w:trHeight w:val="270"/>
        </w:trPr>
        <w:tc>
          <w:tcPr>
            <w:tcW w:w="2900" w:type="dxa"/>
            <w:vAlign w:val="bottom"/>
            <w:tcBorders>
              <w:left w:val="single" w:sz="8" w:color="auto"/>
            </w:tcBorders>
          </w:tcPr>
          <w:p>
            <w:pPr>
              <w:spacing w:after="0"/>
              <w:rPr>
                <w:sz w:val="23"/>
                <w:szCs w:val="23"/>
                <w:color w:val="auto"/>
              </w:rPr>
            </w:pPr>
          </w:p>
        </w:tc>
        <w:tc>
          <w:tcPr>
            <w:tcW w:w="7520" w:type="dxa"/>
            <w:vAlign w:val="bottom"/>
            <w:tcBorders>
              <w:right w:val="single" w:sz="8" w:color="auto"/>
            </w:tcBorders>
            <w:gridSpan w:val="2"/>
          </w:tcPr>
          <w:p>
            <w:pPr>
              <w:ind w:left="540"/>
              <w:spacing w:after="0"/>
              <w:rPr>
                <w:sz w:val="20"/>
                <w:szCs w:val="20"/>
                <w:color w:val="auto"/>
              </w:rPr>
            </w:pPr>
            <w:r>
              <w:rPr>
                <w:rFonts w:ascii="Arial" w:cs="Arial" w:eastAsia="Arial" w:hAnsi="Arial"/>
                <w:sz w:val="19"/>
                <w:szCs w:val="19"/>
                <w:color w:val="auto"/>
              </w:rPr>
              <w:t>The committee chair retainers are paid in the same form as the annual retainer.</w:t>
            </w:r>
          </w:p>
        </w:tc>
      </w:tr>
      <w:tr>
        <w:trPr>
          <w:trHeight w:val="50"/>
        </w:trPr>
        <w:tc>
          <w:tcPr>
            <w:tcW w:w="2900" w:type="dxa"/>
            <w:vAlign w:val="bottom"/>
            <w:tcBorders>
              <w:left w:val="single" w:sz="8" w:color="auto"/>
              <w:bottom w:val="single" w:sz="8" w:color="auto"/>
            </w:tcBorders>
          </w:tcPr>
          <w:p>
            <w:pPr>
              <w:spacing w:after="0"/>
              <w:rPr>
                <w:sz w:val="4"/>
                <w:szCs w:val="4"/>
                <w:color w:val="auto"/>
              </w:rPr>
            </w:pPr>
          </w:p>
        </w:tc>
        <w:tc>
          <w:tcPr>
            <w:tcW w:w="7520" w:type="dxa"/>
            <w:vAlign w:val="bottom"/>
            <w:tcBorders>
              <w:bottom w:val="single" w:sz="8" w:color="auto"/>
              <w:right w:val="single" w:sz="8" w:color="auto"/>
            </w:tcBorders>
            <w:gridSpan w:val="2"/>
          </w:tcPr>
          <w:p>
            <w:pPr>
              <w:spacing w:after="0"/>
              <w:rPr>
                <w:sz w:val="4"/>
                <w:szCs w:val="4"/>
                <w:color w:val="auto"/>
              </w:rPr>
            </w:pPr>
          </w:p>
        </w:tc>
      </w:tr>
      <w:tr>
        <w:trPr>
          <w:trHeight w:val="254"/>
        </w:trPr>
        <w:tc>
          <w:tcPr>
            <w:tcW w:w="2900" w:type="dxa"/>
            <w:vAlign w:val="bottom"/>
            <w:tcBorders>
              <w:left w:val="single" w:sz="8" w:color="auto"/>
            </w:tcBorders>
          </w:tcPr>
          <w:p>
            <w:pPr>
              <w:ind w:left="80"/>
              <w:spacing w:after="0"/>
              <w:rPr>
                <w:sz w:val="20"/>
                <w:szCs w:val="20"/>
                <w:color w:val="auto"/>
              </w:rPr>
            </w:pPr>
            <w:r>
              <w:rPr>
                <w:rFonts w:ascii="Arial" w:cs="Arial" w:eastAsia="Arial" w:hAnsi="Arial"/>
                <w:sz w:val="19"/>
                <w:szCs w:val="19"/>
                <w:b w:val="1"/>
                <w:bCs w:val="1"/>
                <w:color w:val="auto"/>
              </w:rPr>
              <w:t>Lead Director</w:t>
            </w:r>
          </w:p>
        </w:tc>
        <w:tc>
          <w:tcPr>
            <w:tcW w:w="7520" w:type="dxa"/>
            <w:vAlign w:val="bottom"/>
            <w:tcBorders>
              <w:right w:val="single" w:sz="8" w:color="auto"/>
            </w:tcBorders>
            <w:gridSpan w:val="2"/>
          </w:tcPr>
          <w:p>
            <w:pPr>
              <w:ind w:left="540"/>
              <w:spacing w:after="0"/>
              <w:rPr>
                <w:sz w:val="20"/>
                <w:szCs w:val="20"/>
                <w:color w:val="auto"/>
              </w:rPr>
            </w:pPr>
            <w:r>
              <w:rPr>
                <w:rFonts w:ascii="Arial" w:cs="Arial" w:eastAsia="Arial" w:hAnsi="Arial"/>
                <w:sz w:val="19"/>
                <w:szCs w:val="19"/>
                <w:color w:val="auto"/>
              </w:rPr>
              <w:t>$50,000 payable in the same form as the annual retainer.</w:t>
            </w:r>
          </w:p>
        </w:tc>
      </w:tr>
      <w:tr>
        <w:trPr>
          <w:trHeight w:val="50"/>
        </w:trPr>
        <w:tc>
          <w:tcPr>
            <w:tcW w:w="2900" w:type="dxa"/>
            <w:vAlign w:val="bottom"/>
            <w:tcBorders>
              <w:left w:val="single" w:sz="8" w:color="auto"/>
              <w:bottom w:val="single" w:sz="8" w:color="auto"/>
            </w:tcBorders>
          </w:tcPr>
          <w:p>
            <w:pPr>
              <w:spacing w:after="0"/>
              <w:rPr>
                <w:sz w:val="4"/>
                <w:szCs w:val="4"/>
                <w:color w:val="auto"/>
              </w:rPr>
            </w:pPr>
          </w:p>
        </w:tc>
        <w:tc>
          <w:tcPr>
            <w:tcW w:w="7520" w:type="dxa"/>
            <w:vAlign w:val="bottom"/>
            <w:tcBorders>
              <w:bottom w:val="single" w:sz="8" w:color="auto"/>
              <w:right w:val="single" w:sz="8" w:color="auto"/>
            </w:tcBorders>
            <w:gridSpan w:val="2"/>
          </w:tcPr>
          <w:p>
            <w:pPr>
              <w:spacing w:after="0"/>
              <w:rPr>
                <w:sz w:val="4"/>
                <w:szCs w:val="4"/>
                <w:color w:val="auto"/>
              </w:rPr>
            </w:pPr>
          </w:p>
        </w:tc>
      </w:tr>
      <w:tr>
        <w:trPr>
          <w:trHeight w:val="260"/>
        </w:trPr>
        <w:tc>
          <w:tcPr>
            <w:tcW w:w="29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9"/>
                <w:szCs w:val="19"/>
                <w:b w:val="1"/>
                <w:bCs w:val="1"/>
                <w:color w:val="auto"/>
              </w:rPr>
              <w:t>Meeting Fees</w:t>
            </w:r>
          </w:p>
        </w:tc>
        <w:tc>
          <w:tcPr>
            <w:tcW w:w="7520" w:type="dxa"/>
            <w:vAlign w:val="bottom"/>
            <w:tcBorders>
              <w:bottom w:val="single" w:sz="8" w:color="auto"/>
              <w:right w:val="single" w:sz="8" w:color="auto"/>
            </w:tcBorders>
            <w:gridSpan w:val="2"/>
          </w:tcPr>
          <w:p>
            <w:pPr>
              <w:ind w:left="540"/>
              <w:spacing w:after="0"/>
              <w:rPr>
                <w:sz w:val="20"/>
                <w:szCs w:val="20"/>
                <w:color w:val="auto"/>
              </w:rPr>
            </w:pPr>
            <w:r>
              <w:rPr>
                <w:rFonts w:ascii="Arial" w:cs="Arial" w:eastAsia="Arial" w:hAnsi="Arial"/>
                <w:sz w:val="19"/>
                <w:szCs w:val="19"/>
                <w:color w:val="auto"/>
              </w:rPr>
              <w:t>$1,500 for attendance at each Board and committee meeting.</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 Option Grant</w:t>
      </w:r>
    </w:p>
    <w:p>
      <w:pPr>
        <w:spacing w:after="0" w:line="119"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In 2007, the directors received a stock option award on the first business day of the fiscal year. The number of options granted was calculated by dividing $50,000 by the average of the high and low prices of a share of the Company’s Common Stock on the date of grant. The per-share exercise price of each stock option granted was equal to the fair market value of a share of Common Stock on the date of grant. The options fully vest one year following the date of grant. Vested options may be exercised for ten years from the date of grant; however, no option may be exercised more than one year following the termination of a person’s service as a director.</w:t>
      </w:r>
    </w:p>
    <w:p>
      <w:pPr>
        <w:spacing w:after="0" w:line="77"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In fiscal 2008, the directors received a grant of 3,704 restricted stock units (“RSUs”) instead of a stock option grant. The number of RSUs granted was calculated by dividing $50,000 by the closing price of a share of our stock on the date of grant. The RSUs will vest in February 2009. Each RSU represents the right to receive one share of the Company’s common stock on the vesting date.</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Deferral Election</w:t>
      </w:r>
    </w:p>
    <w:p>
      <w:pPr>
        <w:spacing w:after="0" w:line="119" w:lineRule="exact"/>
        <w:rPr>
          <w:sz w:val="20"/>
          <w:szCs w:val="20"/>
          <w:color w:val="auto"/>
        </w:rPr>
      </w:pPr>
    </w:p>
    <w:p>
      <w:pPr>
        <w:ind w:right="160" w:firstLine="357"/>
        <w:spacing w:after="0" w:line="277" w:lineRule="auto"/>
        <w:rPr>
          <w:sz w:val="20"/>
          <w:szCs w:val="20"/>
          <w:color w:val="auto"/>
        </w:rPr>
      </w:pPr>
      <w:r>
        <w:rPr>
          <w:rFonts w:ascii="Arial" w:cs="Arial" w:eastAsia="Arial" w:hAnsi="Arial"/>
          <w:sz w:val="18"/>
          <w:szCs w:val="18"/>
          <w:color w:val="auto"/>
        </w:rPr>
        <w:t>Non-employee directors may elect to receive all or a portion of the cash component of their annual retainer fee, including committee chair retainers, in the form of deferred stock units or to have these amounts placed in an interest account. Directors may also elect to receive all or part of the stock component of their annual retainer fee in the form of deferred stock units. The interest account is a hypothetical investment account bearing interest at the rate of 120 percent of the applicable federal long-term rate, compounded annually, and set as of the first day of each plan year. A stock unit is an accounting equivalent of one share of the Company’s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Miscellaneous</w:t>
      </w:r>
    </w:p>
    <w:p>
      <w:pPr>
        <w:spacing w:after="0" w:line="119" w:lineRule="exact"/>
        <w:rPr>
          <w:sz w:val="20"/>
          <w:szCs w:val="20"/>
          <w:color w:val="auto"/>
        </w:rPr>
      </w:pPr>
    </w:p>
    <w:p>
      <w:pPr>
        <w:ind w:firstLine="357"/>
        <w:spacing w:after="0" w:line="313" w:lineRule="auto"/>
        <w:rPr>
          <w:sz w:val="20"/>
          <w:szCs w:val="20"/>
          <w:color w:val="auto"/>
        </w:rPr>
      </w:pPr>
      <w:r>
        <w:rPr>
          <w:rFonts w:ascii="Arial" w:cs="Arial" w:eastAsia="Arial" w:hAnsi="Arial"/>
          <w:sz w:val="17"/>
          <w:szCs w:val="17"/>
          <w:color w:val="auto"/>
        </w:rPr>
        <w:t>Directors and their immediate families are eligible to receive the same discount on purchases of merchandise from our stores, catalogs and Internet sites that is available to Company employees. The Company reimburses non-employee directors for their reasonable expenses in attending meetings of the Board and committees, including their transportation expenses to and from meetings, hotel accommodations, and meals.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Fiscal 2007 Director Compensation</w:t>
      </w:r>
    </w:p>
    <w:p>
      <w:pPr>
        <w:spacing w:after="0" w:line="125"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The amounts paid to each non-employee director for fiscal 2007, including amounts deferred under the Company’s stock plans, and the options granted to each director are reported in the tables below.</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32"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9"/>
          <w:szCs w:val="19"/>
          <w:b w:val="1"/>
          <w:bCs w:val="1"/>
          <w:color w:val="auto"/>
        </w:rPr>
        <w:t>DIRECTOR COMPENSATION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547"/>
        </w:trPr>
        <w:tc>
          <w:tcPr>
            <w:tcW w:w="140" w:type="dxa"/>
            <w:vAlign w:val="bottom"/>
            <w:tcBorders>
              <w:top w:val="single" w:sz="8" w:color="auto"/>
              <w:left w:val="single" w:sz="8" w:color="auto"/>
            </w:tcBorders>
          </w:tcPr>
          <w:p>
            <w:pPr>
              <w:spacing w:after="0"/>
              <w:rPr>
                <w:sz w:val="24"/>
                <w:szCs w:val="24"/>
                <w:color w:val="auto"/>
              </w:rPr>
            </w:pPr>
          </w:p>
        </w:tc>
        <w:tc>
          <w:tcPr>
            <w:tcW w:w="4560" w:type="dxa"/>
            <w:vAlign w:val="bottom"/>
            <w:tcBorders>
              <w:top w:val="single" w:sz="8" w:color="auto"/>
            </w:tcBorders>
          </w:tcPr>
          <w:p>
            <w:pPr>
              <w:ind w:left="2180"/>
              <w:spacing w:after="0"/>
              <w:rPr>
                <w:sz w:val="20"/>
                <w:szCs w:val="20"/>
                <w:color w:val="auto"/>
              </w:rPr>
            </w:pPr>
            <w:r>
              <w:rPr>
                <w:rFonts w:ascii="Arial" w:cs="Arial" w:eastAsia="Arial" w:hAnsi="Arial"/>
                <w:sz w:val="16"/>
                <w:szCs w:val="16"/>
                <w:b w:val="1"/>
                <w:bCs w:val="1"/>
                <w:color w:val="auto"/>
              </w:rPr>
              <w:t>(a)</w:t>
            </w: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(b)</w:t>
            </w: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center"/>
              <w:ind w:left="221"/>
              <w:spacing w:after="0"/>
              <w:rPr>
                <w:sz w:val="20"/>
                <w:szCs w:val="20"/>
                <w:color w:val="auto"/>
              </w:rPr>
            </w:pPr>
            <w:r>
              <w:rPr>
                <w:rFonts w:ascii="Arial" w:cs="Arial" w:eastAsia="Arial" w:hAnsi="Arial"/>
                <w:sz w:val="16"/>
                <w:szCs w:val="16"/>
                <w:b w:val="1"/>
                <w:bCs w:val="1"/>
                <w:color w:val="auto"/>
                <w:w w:val="91"/>
              </w:rPr>
              <w:t>(c)</w:t>
            </w: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w:t>
            </w: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w:t>
            </w:r>
          </w:p>
        </w:tc>
        <w:tc>
          <w:tcPr>
            <w:tcW w:w="140" w:type="dxa"/>
            <w:vAlign w:val="bottom"/>
            <w:tcBorders>
              <w:top w:val="single" w:sz="8" w:color="auto"/>
              <w:right w:val="single" w:sz="8" w:color="auto"/>
            </w:tcBorders>
          </w:tcPr>
          <w:p>
            <w:pPr>
              <w:spacing w:after="0"/>
              <w:rPr>
                <w:sz w:val="24"/>
                <w:szCs w:val="24"/>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4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Change in</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4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3"/>
              </w:rPr>
              <w:t>Pension</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4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Value and</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4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Nonqualified</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4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Fees Earned</w:t>
            </w:r>
          </w:p>
        </w:tc>
        <w:tc>
          <w:tcPr>
            <w:tcW w:w="280" w:type="dxa"/>
            <w:vAlign w:val="bottom"/>
          </w:tcPr>
          <w:p>
            <w:pPr>
              <w:spacing w:after="0"/>
              <w:rPr>
                <w:sz w:val="15"/>
                <w:szCs w:val="15"/>
                <w:color w:val="auto"/>
              </w:rPr>
            </w:pPr>
          </w:p>
        </w:tc>
        <w:tc>
          <w:tcPr>
            <w:tcW w:w="760" w:type="dxa"/>
            <w:vAlign w:val="bottom"/>
          </w:tcPr>
          <w:p>
            <w:pPr>
              <w:jc w:val="center"/>
              <w:ind w:left="221"/>
              <w:spacing w:after="0" w:line="176" w:lineRule="exact"/>
              <w:rPr>
                <w:sz w:val="20"/>
                <w:szCs w:val="20"/>
                <w:color w:val="auto"/>
              </w:rPr>
            </w:pPr>
            <w:r>
              <w:rPr>
                <w:rFonts w:ascii="Arial" w:cs="Arial" w:eastAsia="Arial" w:hAnsi="Arial"/>
                <w:sz w:val="16"/>
                <w:szCs w:val="16"/>
                <w:b w:val="1"/>
                <w:bCs w:val="1"/>
                <w:color w:val="auto"/>
                <w:w w:val="87"/>
              </w:rPr>
              <w:t>Stock</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3"/>
              </w:rPr>
              <w:t>Option</w:t>
            </w:r>
          </w:p>
        </w:tc>
        <w:tc>
          <w:tcPr>
            <w:tcW w:w="2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4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or Paid in Cash</w:t>
            </w:r>
          </w:p>
        </w:tc>
        <w:tc>
          <w:tcPr>
            <w:tcW w:w="280" w:type="dxa"/>
            <w:vAlign w:val="bottom"/>
          </w:tcPr>
          <w:p>
            <w:pPr>
              <w:spacing w:after="0"/>
              <w:rPr>
                <w:sz w:val="15"/>
                <w:szCs w:val="15"/>
                <w:color w:val="auto"/>
              </w:rPr>
            </w:pPr>
          </w:p>
        </w:tc>
        <w:tc>
          <w:tcPr>
            <w:tcW w:w="108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9"/>
              </w:rPr>
              <w:t>Awards</w:t>
            </w:r>
          </w:p>
        </w:tc>
        <w:tc>
          <w:tcPr>
            <w:tcW w:w="28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Awards</w:t>
            </w:r>
          </w:p>
        </w:tc>
        <w:tc>
          <w:tcPr>
            <w:tcW w:w="2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Compensation</w:t>
            </w:r>
          </w:p>
        </w:tc>
        <w:tc>
          <w:tcPr>
            <w:tcW w:w="28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Total</w:t>
            </w:r>
          </w:p>
        </w:tc>
        <w:tc>
          <w:tcPr>
            <w:tcW w:w="140" w:type="dxa"/>
            <w:vAlign w:val="bottom"/>
            <w:tcBorders>
              <w:right w:val="single" w:sz="8" w:color="auto"/>
            </w:tcBorders>
          </w:tcPr>
          <w:p>
            <w:pPr>
              <w:spacing w:after="0"/>
              <w:rPr>
                <w:sz w:val="15"/>
                <w:szCs w:val="15"/>
                <w:color w:val="auto"/>
              </w:rPr>
            </w:pPr>
          </w:p>
        </w:tc>
      </w:tr>
      <w:tr>
        <w:trPr>
          <w:trHeight w:val="209"/>
        </w:trPr>
        <w:tc>
          <w:tcPr>
            <w:tcW w:w="140" w:type="dxa"/>
            <w:vAlign w:val="bottom"/>
            <w:tcBorders>
              <w:left w:val="single" w:sz="8" w:color="auto"/>
            </w:tcBorders>
          </w:tcPr>
          <w:p>
            <w:pPr>
              <w:spacing w:after="0"/>
              <w:rPr>
                <w:sz w:val="18"/>
                <w:szCs w:val="18"/>
                <w:color w:val="auto"/>
              </w:rPr>
            </w:pPr>
          </w:p>
        </w:tc>
        <w:tc>
          <w:tcPr>
            <w:tcW w:w="4560" w:type="dxa"/>
            <w:vAlign w:val="bottom"/>
            <w:tcBorders>
              <w:bottom w:val="single" w:sz="8" w:color="auto"/>
            </w:tcBorders>
          </w:tcPr>
          <w:p>
            <w:pPr>
              <w:ind w:left="2080"/>
              <w:spacing w:after="0"/>
              <w:rPr>
                <w:sz w:val="20"/>
                <w:szCs w:val="20"/>
                <w:color w:val="auto"/>
              </w:rPr>
            </w:pPr>
            <w:r>
              <w:rPr>
                <w:rFonts w:ascii="Arial" w:cs="Arial" w:eastAsia="Arial" w:hAnsi="Arial"/>
                <w:sz w:val="16"/>
                <w:szCs w:val="16"/>
                <w:b w:val="1"/>
                <w:bCs w:val="1"/>
                <w:color w:val="auto"/>
              </w:rPr>
              <w:t>Name</w:t>
            </w:r>
          </w:p>
        </w:tc>
        <w:tc>
          <w:tcPr>
            <w:tcW w:w="26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280" w:type="dxa"/>
            <w:vAlign w:val="bottom"/>
          </w:tcPr>
          <w:p>
            <w:pPr>
              <w:spacing w:after="0"/>
              <w:rPr>
                <w:sz w:val="18"/>
                <w:szCs w:val="18"/>
                <w:color w:val="auto"/>
              </w:rPr>
            </w:pPr>
          </w:p>
        </w:tc>
        <w:tc>
          <w:tcPr>
            <w:tcW w:w="76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b w:val="1"/>
                <w:bCs w:val="1"/>
                <w:color w:val="auto"/>
                <w:w w:val="91"/>
              </w:rPr>
              <w:t>($)(1)</w:t>
            </w:r>
          </w:p>
        </w:tc>
        <w:tc>
          <w:tcPr>
            <w:tcW w:w="3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($)(2)(3)</w:t>
            </w:r>
          </w:p>
        </w:tc>
        <w:tc>
          <w:tcPr>
            <w:tcW w:w="28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Earnings</w:t>
            </w:r>
          </w:p>
        </w:tc>
        <w:tc>
          <w:tcPr>
            <w:tcW w:w="2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40" w:type="dxa"/>
            <w:vAlign w:val="bottom"/>
            <w:tcBorders>
              <w:right w:val="single" w:sz="8" w:color="auto"/>
            </w:tcBorders>
          </w:tcPr>
          <w:p>
            <w:pPr>
              <w:spacing w:after="0"/>
              <w:rPr>
                <w:sz w:val="18"/>
                <w:szCs w:val="18"/>
                <w:color w:val="auto"/>
              </w:rPr>
            </w:pPr>
          </w:p>
        </w:tc>
      </w:tr>
      <w:tr>
        <w:trPr>
          <w:trHeight w:val="268"/>
        </w:trPr>
        <w:tc>
          <w:tcPr>
            <w:tcW w:w="140" w:type="dxa"/>
            <w:vAlign w:val="bottom"/>
            <w:tcBorders>
              <w:left w:val="single" w:sz="8" w:color="auto"/>
            </w:tcBorders>
          </w:tcPr>
          <w:p>
            <w:pPr>
              <w:spacing w:after="0"/>
              <w:rPr>
                <w:sz w:val="23"/>
                <w:szCs w:val="23"/>
                <w:color w:val="auto"/>
              </w:rPr>
            </w:pPr>
          </w:p>
        </w:tc>
        <w:tc>
          <w:tcPr>
            <w:tcW w:w="4560" w:type="dxa"/>
            <w:vAlign w:val="bottom"/>
            <w:shd w:val="clear" w:color="auto" w:fill="E5FFFF"/>
          </w:tcPr>
          <w:p>
            <w:pPr>
              <w:ind w:left="20"/>
              <w:spacing w:after="0"/>
              <w:rPr>
                <w:sz w:val="20"/>
                <w:szCs w:val="20"/>
                <w:color w:val="auto"/>
              </w:rPr>
            </w:pPr>
            <w:r>
              <w:rPr>
                <w:rFonts w:ascii="Arial" w:cs="Arial" w:eastAsia="Arial" w:hAnsi="Arial"/>
                <w:sz w:val="18"/>
                <w:szCs w:val="18"/>
                <w:color w:val="auto"/>
              </w:rPr>
              <w:t>P. Crawford (4)</w:t>
            </w:r>
          </w:p>
        </w:tc>
        <w:tc>
          <w:tcPr>
            <w:tcW w:w="16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7,513</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49,987</w:t>
            </w:r>
          </w:p>
        </w:tc>
        <w:tc>
          <w:tcPr>
            <w:tcW w:w="320" w:type="dxa"/>
            <w:vAlign w:val="bottom"/>
            <w:shd w:val="clear" w:color="auto" w:fill="E5FFFF"/>
          </w:tcPr>
          <w:p>
            <w:pPr>
              <w:spacing w:after="0"/>
              <w:rPr>
                <w:sz w:val="23"/>
                <w:szCs w:val="23"/>
                <w:color w:val="auto"/>
              </w:rPr>
            </w:pP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10,680</w:t>
            </w:r>
          </w:p>
        </w:tc>
        <w:tc>
          <w:tcPr>
            <w:tcW w:w="280" w:type="dxa"/>
            <w:vAlign w:val="bottom"/>
            <w:shd w:val="clear" w:color="auto" w:fill="E5FFFF"/>
          </w:tcPr>
          <w:p>
            <w:pPr>
              <w:spacing w:after="0"/>
              <w:rPr>
                <w:sz w:val="23"/>
                <w:szCs w:val="23"/>
                <w:color w:val="auto"/>
              </w:rPr>
            </w:pPr>
          </w:p>
        </w:tc>
        <w:tc>
          <w:tcPr>
            <w:tcW w:w="1180" w:type="dxa"/>
            <w:vAlign w:val="bottom"/>
            <w:shd w:val="clear" w:color="auto" w:fill="E5FFFF"/>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68,180</w:t>
            </w:r>
          </w:p>
        </w:tc>
        <w:tc>
          <w:tcPr>
            <w:tcW w:w="140" w:type="dxa"/>
            <w:vAlign w:val="bottom"/>
            <w:tcBorders>
              <w:right w:val="single" w:sz="8" w:color="auto"/>
            </w:tcBorders>
          </w:tcPr>
          <w:p>
            <w:pPr>
              <w:spacing w:after="0"/>
              <w:rPr>
                <w:sz w:val="23"/>
                <w:szCs w:val="23"/>
                <w:color w:val="auto"/>
              </w:rPr>
            </w:pPr>
          </w:p>
        </w:tc>
      </w:tr>
      <w:tr>
        <w:trPr>
          <w:trHeight w:val="262"/>
        </w:trPr>
        <w:tc>
          <w:tcPr>
            <w:tcW w:w="140" w:type="dxa"/>
            <w:vAlign w:val="bottom"/>
            <w:tcBorders>
              <w:left w:val="single" w:sz="8" w:color="auto"/>
            </w:tcBorders>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N. DiPaolo</w:t>
            </w:r>
          </w:p>
        </w:tc>
        <w:tc>
          <w:tcPr>
            <w:tcW w:w="1600" w:type="dxa"/>
            <w:vAlign w:val="bottom"/>
            <w:gridSpan w:val="2"/>
          </w:tcPr>
          <w:p>
            <w:pPr>
              <w:jc w:val="right"/>
              <w:ind w:right="81"/>
              <w:spacing w:after="0"/>
              <w:rPr>
                <w:sz w:val="20"/>
                <w:szCs w:val="20"/>
                <w:color w:val="auto"/>
              </w:rPr>
            </w:pPr>
            <w:r>
              <w:rPr>
                <w:rFonts w:ascii="Arial" w:cs="Arial" w:eastAsia="Arial" w:hAnsi="Arial"/>
                <w:sz w:val="18"/>
                <w:szCs w:val="18"/>
                <w:color w:val="auto"/>
              </w:rPr>
              <w:t>92,670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55,830</w:t>
            </w:r>
          </w:p>
        </w:tc>
        <w:tc>
          <w:tcPr>
            <w:tcW w:w="320" w:type="dxa"/>
            <w:vAlign w:val="bottom"/>
          </w:tcPr>
          <w:p>
            <w:pPr>
              <w:spacing w:after="0"/>
              <w:rPr>
                <w:sz w:val="22"/>
                <w:szCs w:val="22"/>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10,680</w:t>
            </w:r>
          </w:p>
        </w:tc>
        <w:tc>
          <w:tcPr>
            <w:tcW w:w="280" w:type="dxa"/>
            <w:vAlign w:val="bottom"/>
          </w:tcPr>
          <w:p>
            <w:pPr>
              <w:spacing w:after="0"/>
              <w:rPr>
                <w:sz w:val="22"/>
                <w:szCs w:val="22"/>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159,180</w:t>
            </w:r>
          </w:p>
        </w:tc>
        <w:tc>
          <w:tcPr>
            <w:tcW w:w="140" w:type="dxa"/>
            <w:vAlign w:val="bottom"/>
            <w:tcBorders>
              <w:right w:val="single" w:sz="8" w:color="auto"/>
            </w:tcBorders>
          </w:tcPr>
          <w:p>
            <w:pPr>
              <w:spacing w:after="0"/>
              <w:rPr>
                <w:sz w:val="22"/>
                <w:szCs w:val="22"/>
                <w:color w:val="auto"/>
              </w:rPr>
            </w:pPr>
          </w:p>
        </w:tc>
      </w:tr>
      <w:tr>
        <w:trPr>
          <w:trHeight w:val="278"/>
        </w:trPr>
        <w:tc>
          <w:tcPr>
            <w:tcW w:w="140" w:type="dxa"/>
            <w:vAlign w:val="bottom"/>
            <w:tcBorders>
              <w:left w:val="single" w:sz="8" w:color="auto"/>
            </w:tcBorders>
          </w:tcPr>
          <w:p>
            <w:pPr>
              <w:spacing w:after="0"/>
              <w:rPr>
                <w:sz w:val="24"/>
                <w:szCs w:val="24"/>
                <w:color w:val="auto"/>
              </w:rPr>
            </w:pPr>
          </w:p>
        </w:tc>
        <w:tc>
          <w:tcPr>
            <w:tcW w:w="4560" w:type="dxa"/>
            <w:vAlign w:val="bottom"/>
            <w:shd w:val="clear" w:color="auto" w:fill="E5FFFF"/>
          </w:tcPr>
          <w:p>
            <w:pPr>
              <w:ind w:left="20"/>
              <w:spacing w:after="0"/>
              <w:rPr>
                <w:sz w:val="20"/>
                <w:szCs w:val="20"/>
                <w:color w:val="auto"/>
              </w:rPr>
            </w:pPr>
            <w:r>
              <w:rPr>
                <w:rFonts w:ascii="Arial" w:cs="Arial" w:eastAsia="Arial" w:hAnsi="Arial"/>
                <w:sz w:val="18"/>
                <w:szCs w:val="18"/>
                <w:color w:val="auto"/>
              </w:rPr>
              <w:t>A. Feldman</w:t>
            </w:r>
          </w:p>
        </w:tc>
        <w:tc>
          <w:tcPr>
            <w:tcW w:w="16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13,503</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99,997</w:t>
            </w:r>
          </w:p>
        </w:tc>
        <w:tc>
          <w:tcPr>
            <w:tcW w:w="320" w:type="dxa"/>
            <w:vAlign w:val="bottom"/>
            <w:shd w:val="clear" w:color="auto" w:fill="E5FFFF"/>
          </w:tcPr>
          <w:p>
            <w:pPr>
              <w:spacing w:after="0"/>
              <w:rPr>
                <w:sz w:val="24"/>
                <w:szCs w:val="24"/>
                <w:color w:val="auto"/>
              </w:rPr>
            </w:pP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10,680</w:t>
            </w:r>
          </w:p>
        </w:tc>
        <w:tc>
          <w:tcPr>
            <w:tcW w:w="280" w:type="dxa"/>
            <w:vAlign w:val="bottom"/>
            <w:shd w:val="clear" w:color="auto" w:fill="E5FFFF"/>
          </w:tcPr>
          <w:p>
            <w:pPr>
              <w:spacing w:after="0"/>
              <w:rPr>
                <w:sz w:val="24"/>
                <w:szCs w:val="24"/>
                <w:color w:val="auto"/>
              </w:rPr>
            </w:pPr>
          </w:p>
        </w:tc>
        <w:tc>
          <w:tcPr>
            <w:tcW w:w="1180" w:type="dxa"/>
            <w:vAlign w:val="bottom"/>
            <w:shd w:val="clear" w:color="auto" w:fill="E5FFFF"/>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124,180</w:t>
            </w:r>
          </w:p>
        </w:tc>
        <w:tc>
          <w:tcPr>
            <w:tcW w:w="140" w:type="dxa"/>
            <w:vAlign w:val="bottom"/>
            <w:tcBorders>
              <w:right w:val="single" w:sz="8" w:color="auto"/>
            </w:tcBorders>
          </w:tcPr>
          <w:p>
            <w:pPr>
              <w:spacing w:after="0"/>
              <w:rPr>
                <w:sz w:val="24"/>
                <w:szCs w:val="24"/>
                <w:color w:val="auto"/>
              </w:rPr>
            </w:pPr>
          </w:p>
        </w:tc>
      </w:tr>
      <w:tr>
        <w:trPr>
          <w:trHeight w:val="262"/>
        </w:trPr>
        <w:tc>
          <w:tcPr>
            <w:tcW w:w="140" w:type="dxa"/>
            <w:vAlign w:val="bottom"/>
            <w:tcBorders>
              <w:left w:val="single" w:sz="8" w:color="auto"/>
            </w:tcBorders>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P. Geier Jr. (4)</w:t>
            </w:r>
          </w:p>
        </w:tc>
        <w:tc>
          <w:tcPr>
            <w:tcW w:w="1600" w:type="dxa"/>
            <w:vAlign w:val="bottom"/>
            <w:gridSpan w:val="2"/>
          </w:tcPr>
          <w:p>
            <w:pPr>
              <w:jc w:val="right"/>
              <w:ind w:right="81"/>
              <w:spacing w:after="0"/>
              <w:rPr>
                <w:sz w:val="20"/>
                <w:szCs w:val="20"/>
                <w:color w:val="auto"/>
              </w:rPr>
            </w:pPr>
            <w:r>
              <w:rPr>
                <w:rFonts w:ascii="Arial" w:cs="Arial" w:eastAsia="Arial" w:hAnsi="Arial"/>
                <w:sz w:val="18"/>
                <w:szCs w:val="18"/>
                <w:color w:val="auto"/>
              </w:rPr>
              <w:t>28,348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20,819</w:t>
            </w:r>
          </w:p>
        </w:tc>
        <w:tc>
          <w:tcPr>
            <w:tcW w:w="320" w:type="dxa"/>
            <w:vAlign w:val="bottom"/>
          </w:tcPr>
          <w:p>
            <w:pPr>
              <w:spacing w:after="0"/>
              <w:rPr>
                <w:sz w:val="22"/>
                <w:szCs w:val="22"/>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10,680</w:t>
            </w:r>
          </w:p>
        </w:tc>
        <w:tc>
          <w:tcPr>
            <w:tcW w:w="280" w:type="dxa"/>
            <w:vAlign w:val="bottom"/>
          </w:tcPr>
          <w:p>
            <w:pPr>
              <w:spacing w:after="0"/>
              <w:rPr>
                <w:sz w:val="22"/>
                <w:szCs w:val="22"/>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59,847</w:t>
            </w:r>
          </w:p>
        </w:tc>
        <w:tc>
          <w:tcPr>
            <w:tcW w:w="140" w:type="dxa"/>
            <w:vAlign w:val="bottom"/>
            <w:tcBorders>
              <w:right w:val="single" w:sz="8" w:color="auto"/>
            </w:tcBorders>
          </w:tcPr>
          <w:p>
            <w:pPr>
              <w:spacing w:after="0"/>
              <w:rPr>
                <w:sz w:val="22"/>
                <w:szCs w:val="22"/>
                <w:color w:val="auto"/>
              </w:rPr>
            </w:pPr>
          </w:p>
        </w:tc>
      </w:tr>
      <w:tr>
        <w:trPr>
          <w:trHeight w:val="278"/>
        </w:trPr>
        <w:tc>
          <w:tcPr>
            <w:tcW w:w="140" w:type="dxa"/>
            <w:vAlign w:val="bottom"/>
            <w:tcBorders>
              <w:left w:val="single" w:sz="8" w:color="auto"/>
            </w:tcBorders>
          </w:tcPr>
          <w:p>
            <w:pPr>
              <w:spacing w:after="0"/>
              <w:rPr>
                <w:sz w:val="24"/>
                <w:szCs w:val="24"/>
                <w:color w:val="auto"/>
              </w:rPr>
            </w:pPr>
          </w:p>
        </w:tc>
        <w:tc>
          <w:tcPr>
            <w:tcW w:w="4560" w:type="dxa"/>
            <w:vAlign w:val="bottom"/>
            <w:shd w:val="clear" w:color="auto" w:fill="E5FFFF"/>
          </w:tcPr>
          <w:p>
            <w:pPr>
              <w:ind w:left="20"/>
              <w:spacing w:after="0"/>
              <w:rPr>
                <w:sz w:val="20"/>
                <w:szCs w:val="20"/>
                <w:color w:val="auto"/>
              </w:rPr>
            </w:pPr>
            <w:r>
              <w:rPr>
                <w:rFonts w:ascii="Arial" w:cs="Arial" w:eastAsia="Arial" w:hAnsi="Arial"/>
                <w:sz w:val="18"/>
                <w:szCs w:val="18"/>
                <w:color w:val="auto"/>
              </w:rPr>
              <w:t>J. Gilbert Jr.</w:t>
            </w:r>
          </w:p>
        </w:tc>
        <w:tc>
          <w:tcPr>
            <w:tcW w:w="16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90,006</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59,994</w:t>
            </w:r>
          </w:p>
        </w:tc>
        <w:tc>
          <w:tcPr>
            <w:tcW w:w="320" w:type="dxa"/>
            <w:vAlign w:val="bottom"/>
            <w:shd w:val="clear" w:color="auto" w:fill="E5FFFF"/>
          </w:tcPr>
          <w:p>
            <w:pPr>
              <w:spacing w:after="0"/>
              <w:rPr>
                <w:sz w:val="24"/>
                <w:szCs w:val="24"/>
                <w:color w:val="auto"/>
              </w:rPr>
            </w:pP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10,680</w:t>
            </w:r>
          </w:p>
        </w:tc>
        <w:tc>
          <w:tcPr>
            <w:tcW w:w="1460" w:type="dxa"/>
            <w:vAlign w:val="bottom"/>
            <w:gridSpan w:val="2"/>
            <w:shd w:val="clear" w:color="auto" w:fill="E5FFFF"/>
          </w:tcPr>
          <w:p>
            <w:pPr>
              <w:jc w:val="right"/>
              <w:ind w:right="55"/>
              <w:spacing w:after="0"/>
              <w:rPr>
                <w:sz w:val="20"/>
                <w:szCs w:val="20"/>
                <w:color w:val="auto"/>
              </w:rPr>
            </w:pPr>
            <w:r>
              <w:rPr>
                <w:rFonts w:ascii="Arial" w:cs="Arial" w:eastAsia="Arial" w:hAnsi="Arial"/>
                <w:sz w:val="18"/>
                <w:szCs w:val="18"/>
                <w:color w:val="auto"/>
              </w:rPr>
              <w:t>4,988</w:t>
            </w:r>
          </w:p>
        </w:tc>
        <w:tc>
          <w:tcPr>
            <w:tcW w:w="112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165,668</w:t>
            </w:r>
          </w:p>
        </w:tc>
        <w:tc>
          <w:tcPr>
            <w:tcW w:w="140" w:type="dxa"/>
            <w:vAlign w:val="bottom"/>
            <w:tcBorders>
              <w:right w:val="single" w:sz="8" w:color="auto"/>
            </w:tcBorders>
          </w:tcPr>
          <w:p>
            <w:pPr>
              <w:spacing w:after="0"/>
              <w:rPr>
                <w:sz w:val="24"/>
                <w:szCs w:val="24"/>
                <w:color w:val="auto"/>
              </w:rPr>
            </w:pPr>
          </w:p>
        </w:tc>
      </w:tr>
      <w:tr>
        <w:trPr>
          <w:trHeight w:val="262"/>
        </w:trPr>
        <w:tc>
          <w:tcPr>
            <w:tcW w:w="140" w:type="dxa"/>
            <w:vAlign w:val="bottom"/>
            <w:tcBorders>
              <w:left w:val="single" w:sz="8" w:color="auto"/>
            </w:tcBorders>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M. McKenna</w:t>
            </w:r>
          </w:p>
        </w:tc>
        <w:tc>
          <w:tcPr>
            <w:tcW w:w="1600" w:type="dxa"/>
            <w:vAlign w:val="bottom"/>
            <w:gridSpan w:val="2"/>
          </w:tcPr>
          <w:p>
            <w:pPr>
              <w:jc w:val="right"/>
              <w:ind w:right="81"/>
              <w:spacing w:after="0"/>
              <w:rPr>
                <w:sz w:val="20"/>
                <w:szCs w:val="20"/>
                <w:color w:val="auto"/>
              </w:rPr>
            </w:pPr>
            <w:r>
              <w:rPr>
                <w:rFonts w:ascii="Arial" w:cs="Arial" w:eastAsia="Arial" w:hAnsi="Arial"/>
                <w:sz w:val="18"/>
                <w:szCs w:val="18"/>
                <w:color w:val="auto"/>
              </w:rPr>
              <w:t>24,003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99,997</w:t>
            </w:r>
          </w:p>
        </w:tc>
        <w:tc>
          <w:tcPr>
            <w:tcW w:w="320" w:type="dxa"/>
            <w:vAlign w:val="bottom"/>
          </w:tcPr>
          <w:p>
            <w:pPr>
              <w:spacing w:after="0"/>
              <w:rPr>
                <w:sz w:val="22"/>
                <w:szCs w:val="22"/>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10,680</w:t>
            </w:r>
          </w:p>
        </w:tc>
        <w:tc>
          <w:tcPr>
            <w:tcW w:w="280" w:type="dxa"/>
            <w:vAlign w:val="bottom"/>
          </w:tcPr>
          <w:p>
            <w:pPr>
              <w:spacing w:after="0"/>
              <w:rPr>
                <w:sz w:val="22"/>
                <w:szCs w:val="22"/>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134,680</w:t>
            </w:r>
          </w:p>
        </w:tc>
        <w:tc>
          <w:tcPr>
            <w:tcW w:w="140" w:type="dxa"/>
            <w:vAlign w:val="bottom"/>
            <w:tcBorders>
              <w:right w:val="single" w:sz="8" w:color="auto"/>
            </w:tcBorders>
          </w:tcPr>
          <w:p>
            <w:pPr>
              <w:spacing w:after="0"/>
              <w:rPr>
                <w:sz w:val="22"/>
                <w:szCs w:val="22"/>
                <w:color w:val="auto"/>
              </w:rPr>
            </w:pPr>
          </w:p>
        </w:tc>
      </w:tr>
      <w:tr>
        <w:trPr>
          <w:trHeight w:val="278"/>
        </w:trPr>
        <w:tc>
          <w:tcPr>
            <w:tcW w:w="140" w:type="dxa"/>
            <w:vAlign w:val="bottom"/>
            <w:tcBorders>
              <w:left w:val="single" w:sz="8" w:color="auto"/>
            </w:tcBorders>
          </w:tcPr>
          <w:p>
            <w:pPr>
              <w:spacing w:after="0"/>
              <w:rPr>
                <w:sz w:val="24"/>
                <w:szCs w:val="24"/>
                <w:color w:val="auto"/>
              </w:rPr>
            </w:pPr>
          </w:p>
        </w:tc>
        <w:tc>
          <w:tcPr>
            <w:tcW w:w="4560" w:type="dxa"/>
            <w:vAlign w:val="bottom"/>
            <w:shd w:val="clear" w:color="auto" w:fill="E5FFFF"/>
          </w:tcPr>
          <w:p>
            <w:pPr>
              <w:ind w:left="20"/>
              <w:spacing w:after="0"/>
              <w:rPr>
                <w:sz w:val="20"/>
                <w:szCs w:val="20"/>
                <w:color w:val="auto"/>
              </w:rPr>
            </w:pPr>
            <w:r>
              <w:rPr>
                <w:rFonts w:ascii="Arial" w:cs="Arial" w:eastAsia="Arial" w:hAnsi="Arial"/>
                <w:sz w:val="18"/>
                <w:szCs w:val="18"/>
                <w:color w:val="auto"/>
              </w:rPr>
              <w:t>J. Preston</w:t>
            </w:r>
          </w:p>
        </w:tc>
        <w:tc>
          <w:tcPr>
            <w:tcW w:w="16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89,686</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69,564</w:t>
            </w:r>
          </w:p>
        </w:tc>
        <w:tc>
          <w:tcPr>
            <w:tcW w:w="320" w:type="dxa"/>
            <w:vAlign w:val="bottom"/>
            <w:shd w:val="clear" w:color="auto" w:fill="E5FFFF"/>
          </w:tcPr>
          <w:p>
            <w:pPr>
              <w:spacing w:after="0"/>
              <w:rPr>
                <w:sz w:val="24"/>
                <w:szCs w:val="24"/>
                <w:color w:val="auto"/>
              </w:rPr>
            </w:pP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10,680</w:t>
            </w:r>
          </w:p>
        </w:tc>
        <w:tc>
          <w:tcPr>
            <w:tcW w:w="280" w:type="dxa"/>
            <w:vAlign w:val="bottom"/>
            <w:shd w:val="clear" w:color="auto" w:fill="E5FFFF"/>
          </w:tcPr>
          <w:p>
            <w:pPr>
              <w:spacing w:after="0"/>
              <w:rPr>
                <w:sz w:val="24"/>
                <w:szCs w:val="24"/>
                <w:color w:val="auto"/>
              </w:rPr>
            </w:pPr>
          </w:p>
        </w:tc>
        <w:tc>
          <w:tcPr>
            <w:tcW w:w="1180" w:type="dxa"/>
            <w:vAlign w:val="bottom"/>
            <w:shd w:val="clear" w:color="auto" w:fill="E5FFFF"/>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169,930</w:t>
            </w:r>
          </w:p>
        </w:tc>
        <w:tc>
          <w:tcPr>
            <w:tcW w:w="140" w:type="dxa"/>
            <w:vAlign w:val="bottom"/>
            <w:tcBorders>
              <w:right w:val="single" w:sz="8" w:color="auto"/>
            </w:tcBorders>
          </w:tcPr>
          <w:p>
            <w:pPr>
              <w:spacing w:after="0"/>
              <w:rPr>
                <w:sz w:val="24"/>
                <w:szCs w:val="24"/>
                <w:color w:val="auto"/>
              </w:rPr>
            </w:pPr>
          </w:p>
        </w:tc>
      </w:tr>
      <w:tr>
        <w:trPr>
          <w:trHeight w:val="262"/>
        </w:trPr>
        <w:tc>
          <w:tcPr>
            <w:tcW w:w="140" w:type="dxa"/>
            <w:vAlign w:val="bottom"/>
            <w:tcBorders>
              <w:left w:val="single" w:sz="8" w:color="auto"/>
            </w:tcBorders>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D. Schwartz</w:t>
            </w:r>
          </w:p>
        </w:tc>
        <w:tc>
          <w:tcPr>
            <w:tcW w:w="1600" w:type="dxa"/>
            <w:vAlign w:val="bottom"/>
            <w:gridSpan w:val="2"/>
          </w:tcPr>
          <w:p>
            <w:pPr>
              <w:jc w:val="right"/>
              <w:ind w:right="81"/>
              <w:spacing w:after="0"/>
              <w:rPr>
                <w:sz w:val="20"/>
                <w:szCs w:val="20"/>
                <w:color w:val="auto"/>
              </w:rPr>
            </w:pPr>
            <w:r>
              <w:rPr>
                <w:rFonts w:ascii="Arial" w:cs="Arial" w:eastAsia="Arial" w:hAnsi="Arial"/>
                <w:sz w:val="18"/>
                <w:szCs w:val="18"/>
                <w:color w:val="auto"/>
              </w:rPr>
              <w:t>77,000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54,331</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w w:val="90"/>
              </w:rPr>
              <w:t>(5)</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10,680</w:t>
            </w:r>
          </w:p>
        </w:tc>
        <w:tc>
          <w:tcPr>
            <w:tcW w:w="280" w:type="dxa"/>
            <w:vAlign w:val="bottom"/>
          </w:tcPr>
          <w:p>
            <w:pPr>
              <w:spacing w:after="0"/>
              <w:rPr>
                <w:sz w:val="22"/>
                <w:szCs w:val="22"/>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142,011</w:t>
            </w:r>
          </w:p>
        </w:tc>
        <w:tc>
          <w:tcPr>
            <w:tcW w:w="140" w:type="dxa"/>
            <w:vAlign w:val="bottom"/>
            <w:tcBorders>
              <w:right w:val="single" w:sz="8" w:color="auto"/>
            </w:tcBorders>
          </w:tcPr>
          <w:p>
            <w:pPr>
              <w:spacing w:after="0"/>
              <w:rPr>
                <w:sz w:val="22"/>
                <w:szCs w:val="22"/>
                <w:color w:val="auto"/>
              </w:rPr>
            </w:pPr>
          </w:p>
        </w:tc>
      </w:tr>
      <w:tr>
        <w:trPr>
          <w:trHeight w:val="278"/>
        </w:trPr>
        <w:tc>
          <w:tcPr>
            <w:tcW w:w="140" w:type="dxa"/>
            <w:vAlign w:val="bottom"/>
            <w:tcBorders>
              <w:left w:val="single" w:sz="8" w:color="auto"/>
            </w:tcBorders>
          </w:tcPr>
          <w:p>
            <w:pPr>
              <w:spacing w:after="0"/>
              <w:rPr>
                <w:sz w:val="24"/>
                <w:szCs w:val="24"/>
                <w:color w:val="auto"/>
              </w:rPr>
            </w:pPr>
          </w:p>
        </w:tc>
        <w:tc>
          <w:tcPr>
            <w:tcW w:w="4560" w:type="dxa"/>
            <w:vAlign w:val="bottom"/>
            <w:shd w:val="clear" w:color="auto" w:fill="E5FFFF"/>
          </w:tcPr>
          <w:p>
            <w:pPr>
              <w:ind w:left="20"/>
              <w:spacing w:after="0"/>
              <w:rPr>
                <w:sz w:val="20"/>
                <w:szCs w:val="20"/>
                <w:color w:val="auto"/>
              </w:rPr>
            </w:pPr>
            <w:r>
              <w:rPr>
                <w:rFonts w:ascii="Arial" w:cs="Arial" w:eastAsia="Arial" w:hAnsi="Arial"/>
                <w:sz w:val="18"/>
                <w:szCs w:val="18"/>
                <w:color w:val="auto"/>
              </w:rPr>
              <w:t>C. Sinclair</w:t>
            </w:r>
          </w:p>
        </w:tc>
        <w:tc>
          <w:tcPr>
            <w:tcW w:w="16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77,520</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54,980</w:t>
            </w:r>
          </w:p>
        </w:tc>
        <w:tc>
          <w:tcPr>
            <w:tcW w:w="320" w:type="dxa"/>
            <w:vAlign w:val="bottom"/>
            <w:shd w:val="clear" w:color="auto" w:fill="E5FFFF"/>
          </w:tcPr>
          <w:p>
            <w:pPr>
              <w:spacing w:after="0"/>
              <w:rPr>
                <w:sz w:val="24"/>
                <w:szCs w:val="24"/>
                <w:color w:val="auto"/>
              </w:rPr>
            </w:pP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10,680</w:t>
            </w:r>
          </w:p>
        </w:tc>
        <w:tc>
          <w:tcPr>
            <w:tcW w:w="280" w:type="dxa"/>
            <w:vAlign w:val="bottom"/>
            <w:shd w:val="clear" w:color="auto" w:fill="E5FFFF"/>
          </w:tcPr>
          <w:p>
            <w:pPr>
              <w:spacing w:after="0"/>
              <w:rPr>
                <w:sz w:val="24"/>
                <w:szCs w:val="24"/>
                <w:color w:val="auto"/>
              </w:rPr>
            </w:pPr>
          </w:p>
        </w:tc>
        <w:tc>
          <w:tcPr>
            <w:tcW w:w="1180" w:type="dxa"/>
            <w:vAlign w:val="bottom"/>
            <w:shd w:val="clear" w:color="auto" w:fill="E5FFFF"/>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143,180</w:t>
            </w:r>
          </w:p>
        </w:tc>
        <w:tc>
          <w:tcPr>
            <w:tcW w:w="140" w:type="dxa"/>
            <w:vAlign w:val="bottom"/>
            <w:tcBorders>
              <w:right w:val="single" w:sz="8" w:color="auto"/>
            </w:tcBorders>
          </w:tcPr>
          <w:p>
            <w:pPr>
              <w:spacing w:after="0"/>
              <w:rPr>
                <w:sz w:val="24"/>
                <w:szCs w:val="24"/>
                <w:color w:val="auto"/>
              </w:rPr>
            </w:pPr>
          </w:p>
        </w:tc>
      </w:tr>
      <w:tr>
        <w:trPr>
          <w:trHeight w:val="262"/>
        </w:trPr>
        <w:tc>
          <w:tcPr>
            <w:tcW w:w="140" w:type="dxa"/>
            <w:vAlign w:val="bottom"/>
            <w:tcBorders>
              <w:left w:val="single" w:sz="8" w:color="auto"/>
            </w:tcBorders>
          </w:tcPr>
          <w:p>
            <w:pPr>
              <w:spacing w:after="0"/>
              <w:rPr>
                <w:sz w:val="22"/>
                <w:szCs w:val="22"/>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C. Turpin</w:t>
            </w:r>
          </w:p>
        </w:tc>
        <w:tc>
          <w:tcPr>
            <w:tcW w:w="1600" w:type="dxa"/>
            <w:vAlign w:val="bottom"/>
            <w:gridSpan w:val="2"/>
          </w:tcPr>
          <w:p>
            <w:pPr>
              <w:jc w:val="right"/>
              <w:ind w:right="81"/>
              <w:spacing w:after="0"/>
              <w:rPr>
                <w:sz w:val="20"/>
                <w:szCs w:val="20"/>
                <w:color w:val="auto"/>
              </w:rPr>
            </w:pPr>
            <w:r>
              <w:rPr>
                <w:rFonts w:ascii="Arial" w:cs="Arial" w:eastAsia="Arial" w:hAnsi="Arial"/>
                <w:sz w:val="18"/>
                <w:szCs w:val="18"/>
                <w:color w:val="auto"/>
              </w:rPr>
              <w:t>18,583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106,938</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w w:val="90"/>
              </w:rPr>
              <w:t>(6)</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10,680</w:t>
            </w:r>
          </w:p>
        </w:tc>
        <w:tc>
          <w:tcPr>
            <w:tcW w:w="280" w:type="dxa"/>
            <w:vAlign w:val="bottom"/>
          </w:tcPr>
          <w:p>
            <w:pPr>
              <w:spacing w:after="0"/>
              <w:rPr>
                <w:sz w:val="22"/>
                <w:szCs w:val="22"/>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
              <w:spacing w:after="0"/>
              <w:rPr>
                <w:sz w:val="20"/>
                <w:szCs w:val="20"/>
                <w:color w:val="auto"/>
              </w:rPr>
            </w:pPr>
            <w:r>
              <w:rPr>
                <w:rFonts w:ascii="Arial" w:cs="Arial" w:eastAsia="Arial" w:hAnsi="Arial"/>
                <w:sz w:val="18"/>
                <w:szCs w:val="18"/>
                <w:color w:val="auto"/>
              </w:rPr>
              <w:t>136,201</w:t>
            </w:r>
          </w:p>
        </w:tc>
        <w:tc>
          <w:tcPr>
            <w:tcW w:w="140" w:type="dxa"/>
            <w:vAlign w:val="bottom"/>
            <w:tcBorders>
              <w:right w:val="single" w:sz="8" w:color="auto"/>
            </w:tcBorders>
          </w:tcPr>
          <w:p>
            <w:pPr>
              <w:spacing w:after="0"/>
              <w:rPr>
                <w:sz w:val="22"/>
                <w:szCs w:val="22"/>
                <w:color w:val="auto"/>
              </w:rPr>
            </w:pPr>
          </w:p>
        </w:tc>
      </w:tr>
      <w:tr>
        <w:trPr>
          <w:trHeight w:val="278"/>
        </w:trPr>
        <w:tc>
          <w:tcPr>
            <w:tcW w:w="140" w:type="dxa"/>
            <w:vAlign w:val="bottom"/>
            <w:tcBorders>
              <w:left w:val="single" w:sz="8" w:color="auto"/>
            </w:tcBorders>
          </w:tcPr>
          <w:p>
            <w:pPr>
              <w:spacing w:after="0"/>
              <w:rPr>
                <w:sz w:val="24"/>
                <w:szCs w:val="24"/>
                <w:color w:val="auto"/>
              </w:rPr>
            </w:pPr>
          </w:p>
        </w:tc>
        <w:tc>
          <w:tcPr>
            <w:tcW w:w="4560" w:type="dxa"/>
            <w:vAlign w:val="bottom"/>
            <w:shd w:val="clear" w:color="auto" w:fill="E5FFFF"/>
          </w:tcPr>
          <w:p>
            <w:pPr>
              <w:ind w:left="20"/>
              <w:spacing w:after="0"/>
              <w:rPr>
                <w:sz w:val="20"/>
                <w:szCs w:val="20"/>
                <w:color w:val="auto"/>
              </w:rPr>
            </w:pPr>
            <w:r>
              <w:rPr>
                <w:rFonts w:ascii="Arial" w:cs="Arial" w:eastAsia="Arial" w:hAnsi="Arial"/>
                <w:sz w:val="18"/>
                <w:szCs w:val="18"/>
                <w:color w:val="auto"/>
              </w:rPr>
              <w:t>D. Young</w:t>
            </w:r>
          </w:p>
        </w:tc>
        <w:tc>
          <w:tcPr>
            <w:tcW w:w="16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24,000</w:t>
            </w:r>
          </w:p>
        </w:tc>
        <w:tc>
          <w:tcPr>
            <w:tcW w:w="10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108,663</w:t>
            </w:r>
          </w:p>
        </w:tc>
        <w:tc>
          <w:tcPr>
            <w:tcW w:w="32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w w:val="90"/>
              </w:rPr>
              <w:t>(5)</w:t>
            </w:r>
          </w:p>
        </w:tc>
        <w:tc>
          <w:tcPr>
            <w:tcW w:w="104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10,680</w:t>
            </w:r>
          </w:p>
        </w:tc>
        <w:tc>
          <w:tcPr>
            <w:tcW w:w="280" w:type="dxa"/>
            <w:vAlign w:val="bottom"/>
            <w:shd w:val="clear" w:color="auto" w:fill="E5FFFF"/>
          </w:tcPr>
          <w:p>
            <w:pPr>
              <w:spacing w:after="0"/>
              <w:rPr>
                <w:sz w:val="24"/>
                <w:szCs w:val="24"/>
                <w:color w:val="auto"/>
              </w:rPr>
            </w:pPr>
          </w:p>
        </w:tc>
        <w:tc>
          <w:tcPr>
            <w:tcW w:w="1180" w:type="dxa"/>
            <w:vAlign w:val="bottom"/>
            <w:shd w:val="clear" w:color="auto" w:fill="E5FFFF"/>
          </w:tcPr>
          <w:p>
            <w:pPr>
              <w:jc w:val="right"/>
              <w:ind w:right="5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143,343</w:t>
            </w:r>
          </w:p>
        </w:tc>
        <w:tc>
          <w:tcPr>
            <w:tcW w:w="140" w:type="dxa"/>
            <w:vAlign w:val="bottom"/>
            <w:tcBorders>
              <w:right w:val="single" w:sz="8" w:color="auto"/>
            </w:tcBorders>
          </w:tcPr>
          <w:p>
            <w:pPr>
              <w:spacing w:after="0"/>
              <w:rPr>
                <w:sz w:val="24"/>
                <w:szCs w:val="24"/>
                <w:color w:val="auto"/>
              </w:rPr>
            </w:pPr>
          </w:p>
        </w:tc>
      </w:tr>
      <w:tr>
        <w:trPr>
          <w:trHeight w:val="280"/>
        </w:trPr>
        <w:tc>
          <w:tcPr>
            <w:tcW w:w="140" w:type="dxa"/>
            <w:vAlign w:val="bottom"/>
            <w:tcBorders>
              <w:left w:val="single" w:sz="8" w:color="auto"/>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-189865</wp:posOffset>
            </wp:positionV>
            <wp:extent cx="707517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Director Compensation Table</w:t>
      </w:r>
    </w:p>
    <w:p>
      <w:pPr>
        <w:spacing w:after="0" w:line="173" w:lineRule="exact"/>
        <w:rPr>
          <w:sz w:val="20"/>
          <w:szCs w:val="20"/>
          <w:color w:val="auto"/>
        </w:rPr>
      </w:pPr>
    </w:p>
    <w:p>
      <w:pPr>
        <w:ind w:left="420" w:right="60" w:hanging="314"/>
        <w:spacing w:after="0" w:line="294" w:lineRule="auto"/>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Column (c) reflects the compensation expense recognized by the Company for the portion of the 2007 annual retainer fees and committee chair retainer fees paid in shares of the Company’s common stock or deferred by the director. In 2007, we made the annual stock payment to each director on July 2. Under the terms of the 2007 Stock Incentive Plan, the stock payment was valued at the closing price of a share of the Company’s common stock on June 29, which was $21.80. The 2007 expense is equal to the number of shares received or deferred by the director multiplied by $21.80, the grant date fair value of the payment under FAS 123R. Directors who deferred the stock portion of their annual retainer were credited with deferred stock units on the annual payment date valued at $21.80 per unit.</w:t>
      </w:r>
    </w:p>
    <w:p>
      <w:pPr>
        <w:spacing w:after="0" w:line="48" w:lineRule="exact"/>
        <w:rPr>
          <w:rFonts w:ascii="Arial" w:cs="Arial" w:eastAsia="Arial" w:hAnsi="Arial"/>
          <w:sz w:val="17"/>
          <w:szCs w:val="17"/>
          <w:color w:val="auto"/>
        </w:rPr>
      </w:pPr>
    </w:p>
    <w:p>
      <w:pPr>
        <w:ind w:left="420" w:right="60"/>
        <w:spacing w:after="0" w:line="259" w:lineRule="auto"/>
        <w:rPr>
          <w:rFonts w:ascii="Arial" w:cs="Arial" w:eastAsia="Arial" w:hAnsi="Arial"/>
          <w:sz w:val="17"/>
          <w:szCs w:val="17"/>
          <w:color w:val="auto"/>
        </w:rPr>
      </w:pPr>
      <w:r>
        <w:rPr>
          <w:rFonts w:ascii="Arial" w:cs="Arial" w:eastAsia="Arial" w:hAnsi="Arial"/>
          <w:sz w:val="19"/>
          <w:szCs w:val="19"/>
          <w:color w:val="auto"/>
        </w:rPr>
        <w:t>The amounts in this column also include the fiscal 2007 compensation expense for (i) dividend equivalents credited to three directors during the year on the quarterly dividend payment dates, valued at the fair market value of the Company’s common stock on the dividend payment dates and (ii) stock units credited to one director during the year on the cash retainer payment date valued at the fair market value on the payment date. The total number of deferred stock units credited to directors’ accounts in fiscal 2007, as well as the total number of units held at the end of fiscal 2007, is shown in the following table: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643"/>
        </w:trPr>
        <w:tc>
          <w:tcPr>
            <w:tcW w:w="140" w:type="dxa"/>
            <w:vAlign w:val="bottom"/>
            <w:tcBorders>
              <w:top w:val="single" w:sz="8" w:color="auto"/>
              <w:left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Total # of</w:t>
            </w: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Total # of</w:t>
            </w:r>
          </w:p>
        </w:tc>
      </w:tr>
      <w:tr>
        <w:trPr>
          <w:trHeight w:val="149"/>
        </w:trPr>
        <w:tc>
          <w:tcPr>
            <w:tcW w:w="140" w:type="dxa"/>
            <w:vAlign w:val="bottom"/>
            <w:tcBorders>
              <w:left w:val="single" w:sz="8" w:color="auto"/>
            </w:tcBorders>
          </w:tcPr>
          <w:p>
            <w:pPr>
              <w:spacing w:after="0"/>
              <w:rPr>
                <w:sz w:val="12"/>
                <w:szCs w:val="12"/>
                <w:color w:val="auto"/>
              </w:rPr>
            </w:pPr>
          </w:p>
        </w:tc>
        <w:tc>
          <w:tcPr>
            <w:tcW w:w="2200" w:type="dxa"/>
            <w:vAlign w:val="bottom"/>
          </w:tcPr>
          <w:p>
            <w:pPr>
              <w:spacing w:after="0"/>
              <w:rPr>
                <w:sz w:val="12"/>
                <w:szCs w:val="12"/>
                <w:color w:val="auto"/>
              </w:rPr>
            </w:pPr>
          </w:p>
        </w:tc>
        <w:tc>
          <w:tcPr>
            <w:tcW w:w="1000" w:type="dxa"/>
            <w:vAlign w:val="bottom"/>
            <w:gridSpan w:val="2"/>
          </w:tcPr>
          <w:p>
            <w:pPr>
              <w:jc w:val="right"/>
              <w:ind w:right="69"/>
              <w:spacing w:after="0" w:line="149" w:lineRule="exact"/>
              <w:rPr>
                <w:sz w:val="20"/>
                <w:szCs w:val="20"/>
                <w:color w:val="auto"/>
              </w:rPr>
            </w:pPr>
            <w:r>
              <w:rPr>
                <w:rFonts w:ascii="Arial" w:cs="Arial" w:eastAsia="Arial" w:hAnsi="Arial"/>
                <w:sz w:val="14"/>
                <w:szCs w:val="14"/>
                <w:b w:val="1"/>
                <w:bCs w:val="1"/>
                <w:color w:val="auto"/>
              </w:rPr>
              <w:t>05/04/07</w:t>
            </w:r>
          </w:p>
        </w:tc>
        <w:tc>
          <w:tcPr>
            <w:tcW w:w="1180" w:type="dxa"/>
            <w:vAlign w:val="bottom"/>
            <w:gridSpan w:val="2"/>
          </w:tcPr>
          <w:p>
            <w:pPr>
              <w:jc w:val="right"/>
              <w:ind w:right="149"/>
              <w:spacing w:after="0" w:line="149" w:lineRule="exact"/>
              <w:rPr>
                <w:sz w:val="20"/>
                <w:szCs w:val="20"/>
                <w:color w:val="auto"/>
              </w:rPr>
            </w:pPr>
            <w:r>
              <w:rPr>
                <w:rFonts w:ascii="Arial" w:cs="Arial" w:eastAsia="Arial" w:hAnsi="Arial"/>
                <w:sz w:val="14"/>
                <w:szCs w:val="14"/>
                <w:b w:val="1"/>
                <w:bCs w:val="1"/>
                <w:color w:val="auto"/>
              </w:rPr>
              <w:t>07/02/07</w:t>
            </w:r>
          </w:p>
        </w:tc>
        <w:tc>
          <w:tcPr>
            <w:tcW w:w="1000" w:type="dxa"/>
            <w:vAlign w:val="bottom"/>
            <w:gridSpan w:val="2"/>
          </w:tcPr>
          <w:p>
            <w:pPr>
              <w:jc w:val="right"/>
              <w:ind w:right="49"/>
              <w:spacing w:after="0" w:line="149" w:lineRule="exact"/>
              <w:rPr>
                <w:sz w:val="20"/>
                <w:szCs w:val="20"/>
                <w:color w:val="auto"/>
              </w:rPr>
            </w:pPr>
            <w:r>
              <w:rPr>
                <w:rFonts w:ascii="Arial" w:cs="Arial" w:eastAsia="Arial" w:hAnsi="Arial"/>
                <w:sz w:val="14"/>
                <w:szCs w:val="14"/>
                <w:b w:val="1"/>
                <w:bCs w:val="1"/>
                <w:color w:val="auto"/>
              </w:rPr>
              <w:t>08/03/07</w:t>
            </w:r>
          </w:p>
        </w:tc>
        <w:tc>
          <w:tcPr>
            <w:tcW w:w="106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11/02/07</w:t>
            </w:r>
          </w:p>
        </w:tc>
        <w:tc>
          <w:tcPr>
            <w:tcW w:w="1080" w:type="dxa"/>
            <w:vAlign w:val="bottom"/>
            <w:gridSpan w:val="2"/>
          </w:tcPr>
          <w:p>
            <w:pPr>
              <w:jc w:val="right"/>
              <w:ind w:right="85"/>
              <w:spacing w:after="0" w:line="149" w:lineRule="exact"/>
              <w:rPr>
                <w:sz w:val="20"/>
                <w:szCs w:val="20"/>
                <w:color w:val="auto"/>
              </w:rPr>
            </w:pPr>
            <w:r>
              <w:rPr>
                <w:rFonts w:ascii="Arial" w:cs="Arial" w:eastAsia="Arial" w:hAnsi="Arial"/>
                <w:sz w:val="14"/>
                <w:szCs w:val="14"/>
                <w:b w:val="1"/>
                <w:bCs w:val="1"/>
                <w:color w:val="auto"/>
              </w:rPr>
              <w:t>01/08/08</w:t>
            </w:r>
          </w:p>
        </w:tc>
        <w:tc>
          <w:tcPr>
            <w:tcW w:w="1060" w:type="dxa"/>
            <w:vAlign w:val="bottom"/>
            <w:gridSpan w:val="2"/>
          </w:tcPr>
          <w:p>
            <w:pPr>
              <w:jc w:val="right"/>
              <w:ind w:right="89"/>
              <w:spacing w:after="0" w:line="149" w:lineRule="exact"/>
              <w:rPr>
                <w:sz w:val="20"/>
                <w:szCs w:val="20"/>
                <w:color w:val="auto"/>
              </w:rPr>
            </w:pPr>
            <w:r>
              <w:rPr>
                <w:rFonts w:ascii="Arial" w:cs="Arial" w:eastAsia="Arial" w:hAnsi="Arial"/>
                <w:sz w:val="14"/>
                <w:szCs w:val="14"/>
                <w:b w:val="1"/>
                <w:bCs w:val="1"/>
                <w:color w:val="auto"/>
              </w:rPr>
              <w:t>02/01/08</w:t>
            </w:r>
          </w:p>
        </w:tc>
        <w:tc>
          <w:tcPr>
            <w:tcW w:w="2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Units</w:t>
            </w:r>
          </w:p>
        </w:tc>
        <w:tc>
          <w:tcPr>
            <w:tcW w:w="2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Units</w:t>
            </w:r>
          </w:p>
        </w:tc>
      </w:tr>
      <w:tr>
        <w:trPr>
          <w:trHeight w:val="149"/>
        </w:trPr>
        <w:tc>
          <w:tcPr>
            <w:tcW w:w="140" w:type="dxa"/>
            <w:vAlign w:val="bottom"/>
            <w:tcBorders>
              <w:left w:val="single" w:sz="8" w:color="auto"/>
            </w:tcBorders>
          </w:tcPr>
          <w:p>
            <w:pPr>
              <w:spacing w:after="0"/>
              <w:rPr>
                <w:sz w:val="12"/>
                <w:szCs w:val="12"/>
                <w:color w:val="auto"/>
              </w:rPr>
            </w:pPr>
          </w:p>
        </w:tc>
        <w:tc>
          <w:tcPr>
            <w:tcW w:w="2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FMV:</w:t>
            </w:r>
          </w:p>
        </w:tc>
        <w:tc>
          <w:tcPr>
            <w:tcW w:w="240" w:type="dxa"/>
            <w:vAlign w:val="bottom"/>
          </w:tcPr>
          <w:p>
            <w:pPr>
              <w:spacing w:after="0"/>
              <w:rPr>
                <w:sz w:val="12"/>
                <w:szCs w:val="12"/>
                <w:color w:val="auto"/>
              </w:rPr>
            </w:pPr>
          </w:p>
        </w:tc>
        <w:tc>
          <w:tcPr>
            <w:tcW w:w="940" w:type="dxa"/>
            <w:vAlign w:val="bottom"/>
          </w:tcPr>
          <w:p>
            <w:pPr>
              <w:jc w:val="right"/>
              <w:ind w:right="229"/>
              <w:spacing w:after="0" w:line="149" w:lineRule="exact"/>
              <w:rPr>
                <w:sz w:val="20"/>
                <w:szCs w:val="20"/>
                <w:color w:val="auto"/>
              </w:rPr>
            </w:pPr>
            <w:r>
              <w:rPr>
                <w:rFonts w:ascii="Arial" w:cs="Arial" w:eastAsia="Arial" w:hAnsi="Arial"/>
                <w:sz w:val="14"/>
                <w:szCs w:val="14"/>
                <w:b w:val="1"/>
                <w:bCs w:val="1"/>
                <w:color w:val="auto"/>
              </w:rPr>
              <w:t>FMV:</w:t>
            </w:r>
          </w:p>
        </w:tc>
        <w:tc>
          <w:tcPr>
            <w:tcW w:w="240" w:type="dxa"/>
            <w:vAlign w:val="bottom"/>
          </w:tcPr>
          <w:p>
            <w:pPr>
              <w:spacing w:after="0"/>
              <w:rPr>
                <w:sz w:val="12"/>
                <w:szCs w:val="12"/>
                <w:color w:val="auto"/>
              </w:rPr>
            </w:pPr>
          </w:p>
        </w:tc>
        <w:tc>
          <w:tcPr>
            <w:tcW w:w="760" w:type="dxa"/>
            <w:vAlign w:val="bottom"/>
          </w:tcPr>
          <w:p>
            <w:pPr>
              <w:jc w:val="right"/>
              <w:ind w:right="129"/>
              <w:spacing w:after="0" w:line="149" w:lineRule="exact"/>
              <w:rPr>
                <w:sz w:val="20"/>
                <w:szCs w:val="20"/>
                <w:color w:val="auto"/>
              </w:rPr>
            </w:pPr>
            <w:r>
              <w:rPr>
                <w:rFonts w:ascii="Arial" w:cs="Arial" w:eastAsia="Arial" w:hAnsi="Arial"/>
                <w:sz w:val="14"/>
                <w:szCs w:val="14"/>
                <w:b w:val="1"/>
                <w:bCs w:val="1"/>
                <w:color w:val="auto"/>
              </w:rPr>
              <w:t>FMV:</w:t>
            </w:r>
          </w:p>
        </w:tc>
        <w:tc>
          <w:tcPr>
            <w:tcW w:w="240" w:type="dxa"/>
            <w:vAlign w:val="bottom"/>
          </w:tcPr>
          <w:p>
            <w:pPr>
              <w:spacing w:after="0"/>
              <w:rPr>
                <w:sz w:val="12"/>
                <w:szCs w:val="12"/>
                <w:color w:val="auto"/>
              </w:rPr>
            </w:pPr>
          </w:p>
        </w:tc>
        <w:tc>
          <w:tcPr>
            <w:tcW w:w="82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FMV:</w:t>
            </w:r>
          </w:p>
        </w:tc>
        <w:tc>
          <w:tcPr>
            <w:tcW w:w="240" w:type="dxa"/>
            <w:vAlign w:val="bottom"/>
          </w:tcPr>
          <w:p>
            <w:pPr>
              <w:spacing w:after="0"/>
              <w:rPr>
                <w:sz w:val="12"/>
                <w:szCs w:val="12"/>
                <w:color w:val="auto"/>
              </w:rPr>
            </w:pPr>
          </w:p>
        </w:tc>
        <w:tc>
          <w:tcPr>
            <w:tcW w:w="840" w:type="dxa"/>
            <w:vAlign w:val="bottom"/>
          </w:tcPr>
          <w:p>
            <w:pPr>
              <w:jc w:val="right"/>
              <w:ind w:right="165"/>
              <w:spacing w:after="0" w:line="149" w:lineRule="exact"/>
              <w:rPr>
                <w:sz w:val="20"/>
                <w:szCs w:val="20"/>
                <w:color w:val="auto"/>
              </w:rPr>
            </w:pPr>
            <w:r>
              <w:rPr>
                <w:rFonts w:ascii="Arial" w:cs="Arial" w:eastAsia="Arial" w:hAnsi="Arial"/>
                <w:sz w:val="14"/>
                <w:szCs w:val="14"/>
                <w:b w:val="1"/>
                <w:bCs w:val="1"/>
                <w:color w:val="auto"/>
              </w:rPr>
              <w:t>FMV:</w:t>
            </w:r>
          </w:p>
        </w:tc>
        <w:tc>
          <w:tcPr>
            <w:tcW w:w="240" w:type="dxa"/>
            <w:vAlign w:val="bottom"/>
          </w:tcPr>
          <w:p>
            <w:pPr>
              <w:spacing w:after="0"/>
              <w:rPr>
                <w:sz w:val="12"/>
                <w:szCs w:val="12"/>
                <w:color w:val="auto"/>
              </w:rPr>
            </w:pPr>
          </w:p>
        </w:tc>
        <w:tc>
          <w:tcPr>
            <w:tcW w:w="82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FMV:</w:t>
            </w:r>
          </w:p>
        </w:tc>
        <w:tc>
          <w:tcPr>
            <w:tcW w:w="24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Credited in</w:t>
            </w:r>
          </w:p>
        </w:tc>
        <w:tc>
          <w:tcPr>
            <w:tcW w:w="26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Held at</w:t>
            </w:r>
          </w:p>
        </w:tc>
      </w:tr>
      <w:tr>
        <w:trPr>
          <w:trHeight w:val="184"/>
        </w:trPr>
        <w:tc>
          <w:tcPr>
            <w:tcW w:w="140" w:type="dxa"/>
            <w:vAlign w:val="bottom"/>
            <w:tcBorders>
              <w:left w:val="single" w:sz="8" w:color="auto"/>
            </w:tcBorders>
          </w:tcPr>
          <w:p>
            <w:pPr>
              <w:spacing w:after="0"/>
              <w:rPr>
                <w:sz w:val="15"/>
                <w:szCs w:val="15"/>
                <w:color w:val="auto"/>
              </w:rPr>
            </w:pPr>
          </w:p>
        </w:tc>
        <w:tc>
          <w:tcPr>
            <w:tcW w:w="22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Director</w:t>
            </w:r>
          </w:p>
        </w:tc>
        <w:tc>
          <w:tcPr>
            <w:tcW w:w="240" w:type="dxa"/>
            <w:vAlign w:val="bottom"/>
          </w:tcPr>
          <w:p>
            <w:pPr>
              <w:spacing w:after="0"/>
              <w:rPr>
                <w:sz w:val="15"/>
                <w:szCs w:val="15"/>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$24.105</w:t>
            </w:r>
          </w:p>
        </w:tc>
        <w:tc>
          <w:tcPr>
            <w:tcW w:w="240" w:type="dxa"/>
            <w:vAlign w:val="bottom"/>
          </w:tcPr>
          <w:p>
            <w:pPr>
              <w:spacing w:after="0"/>
              <w:rPr>
                <w:sz w:val="15"/>
                <w:szCs w:val="15"/>
                <w:color w:val="auto"/>
              </w:rPr>
            </w:pPr>
          </w:p>
        </w:tc>
        <w:tc>
          <w:tcPr>
            <w:tcW w:w="9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$21.80</w:t>
            </w:r>
          </w:p>
        </w:tc>
        <w:tc>
          <w:tcPr>
            <w:tcW w:w="240" w:type="dxa"/>
            <w:vAlign w:val="bottom"/>
          </w:tcPr>
          <w:p>
            <w:pPr>
              <w:spacing w:after="0"/>
              <w:rPr>
                <w:sz w:val="15"/>
                <w:szCs w:val="15"/>
                <w:color w:val="auto"/>
              </w:rPr>
            </w:pP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$17.06</w:t>
            </w:r>
          </w:p>
        </w:tc>
        <w:tc>
          <w:tcPr>
            <w:tcW w:w="240" w:type="dxa"/>
            <w:vAlign w:val="bottom"/>
          </w:tcPr>
          <w:p>
            <w:pPr>
              <w:spacing w:after="0"/>
              <w:rPr>
                <w:sz w:val="15"/>
                <w:szCs w:val="15"/>
                <w:color w:val="auto"/>
              </w:rPr>
            </w:pPr>
          </w:p>
        </w:tc>
        <w:tc>
          <w:tcPr>
            <w:tcW w:w="8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$14.35</w:t>
            </w:r>
          </w:p>
        </w:tc>
        <w:tc>
          <w:tcPr>
            <w:tcW w:w="240" w:type="dxa"/>
            <w:vAlign w:val="bottom"/>
          </w:tcPr>
          <w:p>
            <w:pPr>
              <w:spacing w:after="0"/>
              <w:rPr>
                <w:sz w:val="15"/>
                <w:szCs w:val="15"/>
                <w:color w:val="auto"/>
              </w:rPr>
            </w:pPr>
          </w:p>
        </w:tc>
        <w:tc>
          <w:tcPr>
            <w:tcW w:w="84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$11.84</w:t>
            </w:r>
          </w:p>
        </w:tc>
        <w:tc>
          <w:tcPr>
            <w:tcW w:w="240" w:type="dxa"/>
            <w:vAlign w:val="bottom"/>
          </w:tcPr>
          <w:p>
            <w:pPr>
              <w:spacing w:after="0"/>
              <w:rPr>
                <w:sz w:val="15"/>
                <w:szCs w:val="15"/>
                <w:color w:val="auto"/>
              </w:rPr>
            </w:pPr>
          </w:p>
        </w:tc>
        <w:tc>
          <w:tcPr>
            <w:tcW w:w="8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$13.94</w:t>
            </w:r>
          </w:p>
        </w:tc>
        <w:tc>
          <w:tcPr>
            <w:tcW w:w="24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02/02/08</w:t>
            </w:r>
          </w:p>
        </w:tc>
        <w:tc>
          <w:tcPr>
            <w:tcW w:w="240" w:type="dxa"/>
            <w:vAlign w:val="bottom"/>
            <w:tcBorders>
              <w:right w:val="single" w:sz="8" w:color="auto"/>
            </w:tcBorders>
          </w:tcPr>
          <w:p>
            <w:pPr>
              <w:spacing w:after="0"/>
              <w:rPr>
                <w:sz w:val="15"/>
                <w:szCs w:val="15"/>
                <w:color w:val="auto"/>
              </w:rPr>
            </w:pPr>
          </w:p>
        </w:tc>
      </w:tr>
      <w:tr>
        <w:trPr>
          <w:trHeight w:val="264"/>
        </w:trPr>
        <w:tc>
          <w:tcPr>
            <w:tcW w:w="140" w:type="dxa"/>
            <w:vAlign w:val="bottom"/>
            <w:tcBorders>
              <w:left w:val="single" w:sz="8" w:color="auto"/>
            </w:tcBorders>
          </w:tcPr>
          <w:p>
            <w:pPr>
              <w:spacing w:after="0"/>
              <w:rPr>
                <w:sz w:val="22"/>
                <w:szCs w:val="22"/>
                <w:color w:val="auto"/>
              </w:rPr>
            </w:pPr>
          </w:p>
        </w:tc>
        <w:tc>
          <w:tcPr>
            <w:tcW w:w="2200" w:type="dxa"/>
            <w:vAlign w:val="bottom"/>
            <w:shd w:val="clear" w:color="auto" w:fill="E5FFFF"/>
          </w:tcPr>
          <w:p>
            <w:pPr>
              <w:ind w:left="20"/>
              <w:spacing w:after="0"/>
              <w:rPr>
                <w:sz w:val="20"/>
                <w:szCs w:val="20"/>
                <w:color w:val="auto"/>
              </w:rPr>
            </w:pPr>
            <w:r>
              <w:rPr>
                <w:rFonts w:ascii="Arial" w:cs="Arial" w:eastAsia="Arial" w:hAnsi="Arial"/>
                <w:sz w:val="16"/>
                <w:szCs w:val="16"/>
                <w:color w:val="auto"/>
              </w:rPr>
              <w:t>D. Schwartz</w:t>
            </w:r>
          </w:p>
        </w:tc>
        <w:tc>
          <w:tcPr>
            <w:tcW w:w="1000" w:type="dxa"/>
            <w:vAlign w:val="bottom"/>
            <w:gridSpan w:val="2"/>
            <w:shd w:val="clear" w:color="auto" w:fill="E5FFFF"/>
          </w:tcPr>
          <w:p>
            <w:pPr>
              <w:ind w:left="380"/>
              <w:spacing w:after="0"/>
              <w:rPr>
                <w:sz w:val="20"/>
                <w:szCs w:val="20"/>
                <w:color w:val="auto"/>
              </w:rPr>
            </w:pPr>
            <w:r>
              <w:rPr>
                <w:rFonts w:ascii="Arial" w:cs="Arial" w:eastAsia="Arial" w:hAnsi="Arial"/>
                <w:sz w:val="16"/>
                <w:szCs w:val="16"/>
                <w:color w:val="auto"/>
              </w:rPr>
              <w:t>35.5843</w:t>
            </w:r>
          </w:p>
        </w:tc>
        <w:tc>
          <w:tcPr>
            <w:tcW w:w="11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2,293.5779</w:t>
            </w:r>
          </w:p>
        </w:tc>
        <w:tc>
          <w:tcPr>
            <w:tcW w:w="100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67.345</w:t>
            </w:r>
          </w:p>
        </w:tc>
        <w:tc>
          <w:tcPr>
            <w:tcW w:w="106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80.6497</w:t>
            </w:r>
          </w:p>
        </w:tc>
        <w:tc>
          <w:tcPr>
            <w:tcW w:w="240" w:type="dxa"/>
            <w:vAlign w:val="bottom"/>
            <w:shd w:val="clear" w:color="auto" w:fill="E5FFFF"/>
          </w:tcPr>
          <w:p>
            <w:pPr>
              <w:spacing w:after="0"/>
              <w:rPr>
                <w:sz w:val="22"/>
                <w:szCs w:val="22"/>
                <w:color w:val="auto"/>
              </w:rPr>
            </w:pPr>
          </w:p>
        </w:tc>
        <w:tc>
          <w:tcPr>
            <w:tcW w:w="840" w:type="dxa"/>
            <w:vAlign w:val="bottom"/>
            <w:shd w:val="clear" w:color="auto" w:fill="E5FFFF"/>
          </w:tcPr>
          <w:p>
            <w:pPr>
              <w:jc w:val="right"/>
              <w:ind w:right="25"/>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83.7449</w:t>
            </w:r>
          </w:p>
        </w:tc>
        <w:tc>
          <w:tcPr>
            <w:tcW w:w="1180" w:type="dxa"/>
            <w:vAlign w:val="bottom"/>
            <w:gridSpan w:val="2"/>
            <w:shd w:val="clear" w:color="auto" w:fill="E5FFFF"/>
          </w:tcPr>
          <w:p>
            <w:pPr>
              <w:ind w:left="380"/>
              <w:spacing w:after="0"/>
              <w:rPr>
                <w:sz w:val="20"/>
                <w:szCs w:val="20"/>
                <w:color w:val="auto"/>
              </w:rPr>
            </w:pPr>
            <w:r>
              <w:rPr>
                <w:rFonts w:ascii="Arial" w:cs="Arial" w:eastAsia="Arial" w:hAnsi="Arial"/>
                <w:sz w:val="16"/>
                <w:szCs w:val="16"/>
                <w:color w:val="auto"/>
                <w:w w:val="97"/>
              </w:rPr>
              <w:t>2,560.9018</w:t>
            </w:r>
          </w:p>
        </w:tc>
        <w:tc>
          <w:tcPr>
            <w:tcW w:w="12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9,422.9817</w:t>
            </w:r>
          </w:p>
        </w:tc>
        <w:tc>
          <w:tcPr>
            <w:tcW w:w="240" w:type="dxa"/>
            <w:vAlign w:val="bottom"/>
            <w:tcBorders>
              <w:right w:val="single" w:sz="8" w:color="auto"/>
            </w:tcBorders>
          </w:tcPr>
          <w:p>
            <w:pPr>
              <w:spacing w:after="0"/>
              <w:rPr>
                <w:sz w:val="22"/>
                <w:szCs w:val="22"/>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200" w:type="dxa"/>
            <w:vAlign w:val="bottom"/>
          </w:tcPr>
          <w:p>
            <w:pPr>
              <w:ind w:left="20"/>
              <w:spacing w:after="0"/>
              <w:rPr>
                <w:sz w:val="20"/>
                <w:szCs w:val="20"/>
                <w:color w:val="auto"/>
              </w:rPr>
            </w:pPr>
            <w:r>
              <w:rPr>
                <w:rFonts w:ascii="Arial" w:cs="Arial" w:eastAsia="Arial" w:hAnsi="Arial"/>
                <w:sz w:val="16"/>
                <w:szCs w:val="16"/>
                <w:color w:val="auto"/>
              </w:rPr>
              <w:t>C. Turpin</w:t>
            </w:r>
          </w:p>
        </w:tc>
        <w:tc>
          <w:tcPr>
            <w:tcW w:w="1000" w:type="dxa"/>
            <w:vAlign w:val="bottom"/>
            <w:gridSpan w:val="2"/>
          </w:tcPr>
          <w:p>
            <w:pPr>
              <w:ind w:left="380"/>
              <w:spacing w:after="0"/>
              <w:rPr>
                <w:sz w:val="20"/>
                <w:szCs w:val="20"/>
                <w:color w:val="auto"/>
              </w:rPr>
            </w:pPr>
            <w:r>
              <w:rPr>
                <w:rFonts w:ascii="Arial" w:cs="Arial" w:eastAsia="Arial" w:hAnsi="Arial"/>
                <w:sz w:val="16"/>
                <w:szCs w:val="16"/>
                <w:color w:val="auto"/>
              </w:rPr>
              <w:t>31.3817</w:t>
            </w:r>
          </w:p>
        </w:tc>
        <w:tc>
          <w:tcPr>
            <w:tcW w:w="1180" w:type="dxa"/>
            <w:vAlign w:val="bottom"/>
            <w:gridSpan w:val="2"/>
          </w:tcPr>
          <w:p>
            <w:pPr>
              <w:jc w:val="right"/>
              <w:ind w:right="29"/>
              <w:spacing w:after="0"/>
              <w:rPr>
                <w:sz w:val="20"/>
                <w:szCs w:val="20"/>
                <w:color w:val="auto"/>
              </w:rPr>
            </w:pPr>
            <w:r>
              <w:rPr>
                <w:rFonts w:ascii="Arial" w:cs="Arial" w:eastAsia="Arial" w:hAnsi="Arial"/>
                <w:sz w:val="16"/>
                <w:szCs w:val="16"/>
                <w:color w:val="auto"/>
              </w:rPr>
              <w:t>4,587.1559</w:t>
            </w:r>
          </w:p>
        </w:tc>
        <w:tc>
          <w:tcPr>
            <w:tcW w:w="1000" w:type="dxa"/>
            <w:vAlign w:val="bottom"/>
            <w:gridSpan w:val="2"/>
          </w:tcPr>
          <w:p>
            <w:pPr>
              <w:jc w:val="right"/>
              <w:ind w:right="29"/>
              <w:spacing w:after="0"/>
              <w:rPr>
                <w:sz w:val="20"/>
                <w:szCs w:val="20"/>
                <w:color w:val="auto"/>
              </w:rPr>
            </w:pPr>
            <w:r>
              <w:rPr>
                <w:rFonts w:ascii="Arial" w:cs="Arial" w:eastAsia="Arial" w:hAnsi="Arial"/>
                <w:sz w:val="16"/>
                <w:szCs w:val="16"/>
                <w:color w:val="auto"/>
              </w:rPr>
              <w:t>78.1814</w:t>
            </w:r>
          </w:p>
        </w:tc>
        <w:tc>
          <w:tcPr>
            <w:tcW w:w="1060" w:type="dxa"/>
            <w:vAlign w:val="bottom"/>
            <w:gridSpan w:val="2"/>
          </w:tcPr>
          <w:p>
            <w:pPr>
              <w:jc w:val="right"/>
              <w:ind w:right="29"/>
              <w:spacing w:after="0"/>
              <w:rPr>
                <w:sz w:val="20"/>
                <w:szCs w:val="20"/>
                <w:color w:val="auto"/>
              </w:rPr>
            </w:pPr>
            <w:r>
              <w:rPr>
                <w:rFonts w:ascii="Arial" w:cs="Arial" w:eastAsia="Arial" w:hAnsi="Arial"/>
                <w:sz w:val="16"/>
                <w:szCs w:val="16"/>
                <w:color w:val="auto"/>
              </w:rPr>
              <w:t>93.627</w:t>
            </w:r>
          </w:p>
        </w:tc>
        <w:tc>
          <w:tcPr>
            <w:tcW w:w="1080" w:type="dxa"/>
            <w:vAlign w:val="bottom"/>
            <w:gridSpan w:val="2"/>
          </w:tcPr>
          <w:p>
            <w:pPr>
              <w:jc w:val="right"/>
              <w:ind w:right="25"/>
              <w:spacing w:after="0"/>
              <w:rPr>
                <w:sz w:val="20"/>
                <w:szCs w:val="20"/>
                <w:color w:val="auto"/>
              </w:rPr>
            </w:pPr>
            <w:r>
              <w:rPr>
                <w:rFonts w:ascii="Arial" w:cs="Arial" w:eastAsia="Arial" w:hAnsi="Arial"/>
                <w:sz w:val="16"/>
                <w:szCs w:val="16"/>
                <w:color w:val="auto"/>
              </w:rPr>
              <w:t>527.8716</w:t>
            </w:r>
          </w:p>
        </w:tc>
        <w:tc>
          <w:tcPr>
            <w:tcW w:w="1060" w:type="dxa"/>
            <w:vAlign w:val="bottom"/>
            <w:gridSpan w:val="2"/>
          </w:tcPr>
          <w:p>
            <w:pPr>
              <w:jc w:val="right"/>
              <w:ind w:right="29"/>
              <w:spacing w:after="0"/>
              <w:rPr>
                <w:sz w:val="20"/>
                <w:szCs w:val="20"/>
                <w:color w:val="auto"/>
              </w:rPr>
            </w:pPr>
            <w:r>
              <w:rPr>
                <w:rFonts w:ascii="Arial" w:cs="Arial" w:eastAsia="Arial" w:hAnsi="Arial"/>
                <w:sz w:val="16"/>
                <w:szCs w:val="16"/>
                <w:color w:val="auto"/>
              </w:rPr>
              <w:t>101.9537</w:t>
            </w:r>
          </w:p>
        </w:tc>
        <w:tc>
          <w:tcPr>
            <w:tcW w:w="1180" w:type="dxa"/>
            <w:vAlign w:val="bottom"/>
            <w:gridSpan w:val="2"/>
          </w:tcPr>
          <w:p>
            <w:pPr>
              <w:ind w:left="380"/>
              <w:spacing w:after="0"/>
              <w:rPr>
                <w:sz w:val="20"/>
                <w:szCs w:val="20"/>
                <w:color w:val="auto"/>
              </w:rPr>
            </w:pPr>
            <w:r>
              <w:rPr>
                <w:rFonts w:ascii="Arial" w:cs="Arial" w:eastAsia="Arial" w:hAnsi="Arial"/>
                <w:sz w:val="16"/>
                <w:szCs w:val="16"/>
                <w:color w:val="auto"/>
                <w:w w:val="97"/>
              </w:rPr>
              <w:t>5,420.1713</w:t>
            </w:r>
          </w:p>
        </w:tc>
        <w:tc>
          <w:tcPr>
            <w:tcW w:w="1280" w:type="dxa"/>
            <w:vAlign w:val="bottom"/>
            <w:gridSpan w:val="2"/>
          </w:tcPr>
          <w:p>
            <w:pPr>
              <w:jc w:val="right"/>
              <w:ind w:right="29"/>
              <w:spacing w:after="0"/>
              <w:rPr>
                <w:sz w:val="20"/>
                <w:szCs w:val="20"/>
                <w:color w:val="auto"/>
              </w:rPr>
            </w:pPr>
            <w:r>
              <w:rPr>
                <w:rFonts w:ascii="Arial" w:cs="Arial" w:eastAsia="Arial" w:hAnsi="Arial"/>
                <w:sz w:val="16"/>
                <w:szCs w:val="16"/>
                <w:color w:val="auto"/>
              </w:rPr>
              <w:t>11,471.8275</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200" w:type="dxa"/>
            <w:vAlign w:val="bottom"/>
            <w:shd w:val="clear" w:color="auto" w:fill="E5FFFF"/>
          </w:tcPr>
          <w:p>
            <w:pPr>
              <w:ind w:left="20"/>
              <w:spacing w:after="0"/>
              <w:rPr>
                <w:sz w:val="20"/>
                <w:szCs w:val="20"/>
                <w:color w:val="auto"/>
              </w:rPr>
            </w:pPr>
            <w:r>
              <w:rPr>
                <w:rFonts w:ascii="Arial" w:cs="Arial" w:eastAsia="Arial" w:hAnsi="Arial"/>
                <w:sz w:val="16"/>
                <w:szCs w:val="16"/>
                <w:color w:val="auto"/>
              </w:rPr>
              <w:t>D. Young</w:t>
            </w:r>
          </w:p>
        </w:tc>
        <w:tc>
          <w:tcPr>
            <w:tcW w:w="1000" w:type="dxa"/>
            <w:vAlign w:val="bottom"/>
            <w:gridSpan w:val="2"/>
            <w:shd w:val="clear" w:color="auto" w:fill="E5FFFF"/>
          </w:tcPr>
          <w:p>
            <w:pPr>
              <w:ind w:left="380"/>
              <w:spacing w:after="0"/>
              <w:rPr>
                <w:sz w:val="20"/>
                <w:szCs w:val="20"/>
                <w:color w:val="auto"/>
              </w:rPr>
            </w:pPr>
            <w:r>
              <w:rPr>
                <w:rFonts w:ascii="Arial" w:cs="Arial" w:eastAsia="Arial" w:hAnsi="Arial"/>
                <w:sz w:val="16"/>
                <w:szCs w:val="16"/>
                <w:color w:val="auto"/>
              </w:rPr>
              <w:t>71.1686</w:t>
            </w:r>
          </w:p>
        </w:tc>
        <w:tc>
          <w:tcPr>
            <w:tcW w:w="11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4,587.1559</w:t>
            </w:r>
          </w:p>
        </w:tc>
        <w:tc>
          <w:tcPr>
            <w:tcW w:w="100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134.69</w:t>
            </w:r>
          </w:p>
        </w:tc>
        <w:tc>
          <w:tcPr>
            <w:tcW w:w="106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161.2994</w:t>
            </w:r>
          </w:p>
        </w:tc>
        <w:tc>
          <w:tcPr>
            <w:tcW w:w="240" w:type="dxa"/>
            <w:vAlign w:val="bottom"/>
            <w:shd w:val="clear" w:color="auto" w:fill="E5FFFF"/>
          </w:tcPr>
          <w:p>
            <w:pPr>
              <w:spacing w:after="0"/>
              <w:rPr>
                <w:sz w:val="23"/>
                <w:szCs w:val="23"/>
                <w:color w:val="auto"/>
              </w:rPr>
            </w:pPr>
          </w:p>
        </w:tc>
        <w:tc>
          <w:tcPr>
            <w:tcW w:w="840" w:type="dxa"/>
            <w:vAlign w:val="bottom"/>
            <w:shd w:val="clear" w:color="auto" w:fill="E5FFFF"/>
          </w:tcPr>
          <w:p>
            <w:pPr>
              <w:jc w:val="right"/>
              <w:ind w:right="25"/>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167.4899</w:t>
            </w:r>
          </w:p>
        </w:tc>
        <w:tc>
          <w:tcPr>
            <w:tcW w:w="1180" w:type="dxa"/>
            <w:vAlign w:val="bottom"/>
            <w:gridSpan w:val="2"/>
            <w:shd w:val="clear" w:color="auto" w:fill="E5FFFF"/>
          </w:tcPr>
          <w:p>
            <w:pPr>
              <w:ind w:left="380"/>
              <w:spacing w:after="0"/>
              <w:rPr>
                <w:sz w:val="20"/>
                <w:szCs w:val="20"/>
                <w:color w:val="auto"/>
              </w:rPr>
            </w:pPr>
            <w:r>
              <w:rPr>
                <w:rFonts w:ascii="Arial" w:cs="Arial" w:eastAsia="Arial" w:hAnsi="Arial"/>
                <w:sz w:val="16"/>
                <w:szCs w:val="16"/>
                <w:color w:val="auto"/>
                <w:w w:val="97"/>
              </w:rPr>
              <w:t>5,121.8038</w:t>
            </w:r>
          </w:p>
        </w:tc>
        <w:tc>
          <w:tcPr>
            <w:tcW w:w="12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18,845.9645</w:t>
            </w:r>
          </w:p>
        </w:tc>
        <w:tc>
          <w:tcPr>
            <w:tcW w:w="240" w:type="dxa"/>
            <w:vAlign w:val="bottom"/>
            <w:tcBorders>
              <w:right w:val="single" w:sz="8" w:color="auto"/>
            </w:tcBorders>
          </w:tcPr>
          <w:p>
            <w:pPr>
              <w:spacing w:after="0"/>
              <w:rPr>
                <w:sz w:val="23"/>
                <w:szCs w:val="23"/>
                <w:color w:val="auto"/>
              </w:rPr>
            </w:pPr>
          </w:p>
        </w:tc>
      </w:tr>
      <w:tr>
        <w:trPr>
          <w:trHeight w:val="213"/>
        </w:trPr>
        <w:tc>
          <w:tcPr>
            <w:tcW w:w="140" w:type="dxa"/>
            <w:vAlign w:val="bottom"/>
            <w:tcBorders>
              <w:left w:val="single" w:sz="8" w:color="auto"/>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r>
    </w:tbl>
    <w:p>
      <w:pPr>
        <w:spacing w:after="0" w:line="362" w:lineRule="exact"/>
        <w:rPr>
          <w:sz w:val="20"/>
          <w:szCs w:val="20"/>
          <w:color w:val="auto"/>
        </w:rPr>
      </w:pPr>
    </w:p>
    <w:p>
      <w:pPr>
        <w:ind w:left="420" w:right="240" w:hanging="314"/>
        <w:spacing w:after="0" w:line="302" w:lineRule="auto"/>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Column (d) represents the fiscal 2007 compensation expense recognized for financial statement reporting purposes for the fair value of the stock options granted to the nonemployee directors in 2007. As provided under the SEC’s rules, the amounts shown exclude the impact of estimated forfeitures related to service-based vesting conditions. For additional information on the valuation assumptions, please refer to Note 23 to the Company’s financial statements in our 2007 Form 10-K. The grant date fair value was calculated under FAS 123R.</w:t>
      </w:r>
    </w:p>
    <w:p>
      <w:pPr>
        <w:spacing w:after="0" w:line="56" w:lineRule="exact"/>
        <w:rPr>
          <w:rFonts w:ascii="Arial" w:cs="Arial" w:eastAsia="Arial" w:hAnsi="Arial"/>
          <w:sz w:val="17"/>
          <w:szCs w:val="17"/>
          <w:color w:val="auto"/>
        </w:rPr>
      </w:pPr>
    </w:p>
    <w:p>
      <w:pPr>
        <w:ind w:left="420" w:right="260" w:hanging="314"/>
        <w:spacing w:after="0" w:line="267" w:lineRule="auto"/>
        <w:tabs>
          <w:tab w:leader="none" w:pos="4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following table provides additional information on the stock options granted during 2007 to the directors and the outstanding stock options held by them at the end of the 2007 fiscal year. The grant date fair value of the stock option awards was $4.88 per share. The grant date fair value was calculated under FAS 123R.</w:t>
      </w:r>
    </w:p>
    <w:p>
      <w:pPr>
        <w:sectPr>
          <w:pgSz w:w="11900" w:h="16838" w:orient="portrait"/>
          <w:cols w:equalWidth="0" w:num="1">
            <w:col w:w="11420"/>
          </w:cols>
          <w:pgMar w:left="240" w:top="120" w:right="2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22" w:name="page23"/>
    <w:bookmarkEnd w:id="22"/>
    <w:tbl>
      <w:tblPr>
        <w:tblLayout w:type="fixed"/>
        <w:tblInd w:w="10" w:type="dxa"/>
        <w:tblCellMar>
          <w:top w:w="0" w:type="dxa"/>
          <w:left w:w="0" w:type="dxa"/>
          <w:bottom w:w="0" w:type="dxa"/>
          <w:right w:w="0" w:type="dxa"/>
        </w:tblCellMar>
      </w:tblPr>
      <w:tr>
        <w:trPr>
          <w:trHeight w:val="449"/>
        </w:trPr>
        <w:tc>
          <w:tcPr>
            <w:tcW w:w="140" w:type="dxa"/>
            <w:vAlign w:val="bottom"/>
            <w:tcBorders>
              <w:top w:val="single" w:sz="8" w:color="auto"/>
              <w:left w:val="single" w:sz="8" w:color="auto"/>
            </w:tcBorders>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Grant Date Fair</w:t>
            </w: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Options</w:t>
            </w:r>
          </w:p>
        </w:tc>
      </w:tr>
      <w:tr>
        <w:trPr>
          <w:trHeight w:val="176"/>
        </w:trPr>
        <w:tc>
          <w:tcPr>
            <w:tcW w:w="140" w:type="dxa"/>
            <w:vAlign w:val="bottom"/>
            <w:tcBorders>
              <w:left w:val="single" w:sz="8" w:color="auto"/>
            </w:tcBorders>
          </w:tcPr>
          <w:p>
            <w:pPr>
              <w:spacing w:after="0"/>
              <w:rPr>
                <w:sz w:val="15"/>
                <w:szCs w:val="15"/>
                <w:color w:val="auto"/>
              </w:rPr>
            </w:pPr>
          </w:p>
        </w:tc>
        <w:tc>
          <w:tcPr>
            <w:tcW w:w="3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Stock Options Granted</w:t>
            </w: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Value of Stock</w:t>
            </w:r>
          </w:p>
        </w:tc>
        <w:tc>
          <w:tcPr>
            <w:tcW w:w="280" w:type="dxa"/>
            <w:vAlign w:val="bottom"/>
          </w:tcPr>
          <w:p>
            <w:pPr>
              <w:spacing w:after="0"/>
              <w:rPr>
                <w:sz w:val="15"/>
                <w:szCs w:val="15"/>
                <w:color w:val="auto"/>
              </w:rPr>
            </w:pPr>
          </w:p>
        </w:tc>
        <w:tc>
          <w:tcPr>
            <w:tcW w:w="1300" w:type="dxa"/>
            <w:vAlign w:val="bottom"/>
            <w:tcBorders>
              <w:right w:val="single" w:sz="8" w:color="auto"/>
            </w:tcBorders>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89"/>
              </w:rPr>
              <w:t>Outstanding</w:t>
            </w:r>
          </w:p>
        </w:tc>
      </w:tr>
      <w:tr>
        <w:trPr>
          <w:trHeight w:val="176"/>
        </w:trPr>
        <w:tc>
          <w:tcPr>
            <w:tcW w:w="140" w:type="dxa"/>
            <w:vAlign w:val="bottom"/>
            <w:tcBorders>
              <w:left w:val="single" w:sz="8" w:color="auto"/>
            </w:tcBorders>
          </w:tcPr>
          <w:p>
            <w:pPr>
              <w:spacing w:after="0"/>
              <w:rPr>
                <w:sz w:val="15"/>
                <w:szCs w:val="15"/>
                <w:color w:val="auto"/>
              </w:rPr>
            </w:pPr>
          </w:p>
        </w:tc>
        <w:tc>
          <w:tcPr>
            <w:tcW w:w="3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on 2/5/2007</w:t>
            </w: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jc w:val="right"/>
              <w:ind w:right="161"/>
              <w:spacing w:after="0" w:line="176" w:lineRule="exact"/>
              <w:rPr>
                <w:sz w:val="20"/>
                <w:szCs w:val="20"/>
                <w:color w:val="auto"/>
              </w:rPr>
            </w:pPr>
            <w:r>
              <w:rPr>
                <w:rFonts w:ascii="Arial" w:cs="Arial" w:eastAsia="Arial" w:hAnsi="Arial"/>
                <w:sz w:val="16"/>
                <w:szCs w:val="16"/>
                <w:b w:val="1"/>
                <w:bCs w:val="1"/>
                <w:color w:val="auto"/>
              </w:rPr>
              <w:t>Options Granted in 2007</w:t>
            </w:r>
          </w:p>
        </w:tc>
        <w:tc>
          <w:tcPr>
            <w:tcW w:w="280" w:type="dxa"/>
            <w:vAlign w:val="bottom"/>
          </w:tcPr>
          <w:p>
            <w:pPr>
              <w:spacing w:after="0"/>
              <w:rPr>
                <w:sz w:val="15"/>
                <w:szCs w:val="15"/>
                <w:color w:val="auto"/>
              </w:rPr>
            </w:pPr>
          </w:p>
        </w:tc>
        <w:tc>
          <w:tcPr>
            <w:tcW w:w="1300" w:type="dxa"/>
            <w:vAlign w:val="bottom"/>
            <w:tcBorders>
              <w:right w:val="single" w:sz="8" w:color="auto"/>
            </w:tcBorders>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0"/>
              </w:rPr>
              <w:t>on 2/2/2008</w:t>
            </w:r>
          </w:p>
        </w:tc>
      </w:tr>
      <w:tr>
        <w:trPr>
          <w:trHeight w:val="209"/>
        </w:trPr>
        <w:tc>
          <w:tcPr>
            <w:tcW w:w="140" w:type="dxa"/>
            <w:vAlign w:val="bottom"/>
            <w:tcBorders>
              <w:left w:val="single" w:sz="8" w:color="auto"/>
            </w:tcBorders>
          </w:tcPr>
          <w:p>
            <w:pPr>
              <w:spacing w:after="0"/>
              <w:rPr>
                <w:sz w:val="18"/>
                <w:szCs w:val="18"/>
                <w:color w:val="auto"/>
              </w:rPr>
            </w:pPr>
          </w:p>
        </w:tc>
        <w:tc>
          <w:tcPr>
            <w:tcW w:w="3160" w:type="dxa"/>
            <w:vAlign w:val="bottom"/>
            <w:tcBorders>
              <w:bottom w:val="single" w:sz="8" w:color="auto"/>
            </w:tcBorders>
          </w:tcPr>
          <w:p>
            <w:pPr>
              <w:ind w:left="1380"/>
              <w:spacing w:after="0"/>
              <w:rPr>
                <w:sz w:val="20"/>
                <w:szCs w:val="20"/>
                <w:color w:val="auto"/>
              </w:rPr>
            </w:pPr>
            <w:r>
              <w:rPr>
                <w:rFonts w:ascii="Arial" w:cs="Arial" w:eastAsia="Arial" w:hAnsi="Arial"/>
                <w:sz w:val="16"/>
                <w:szCs w:val="16"/>
                <w:b w:val="1"/>
                <w:bCs w:val="1"/>
                <w:color w:val="auto"/>
              </w:rPr>
              <w:t>Name</w:t>
            </w:r>
          </w:p>
        </w:tc>
        <w:tc>
          <w:tcPr>
            <w:tcW w:w="28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280" w:type="dxa"/>
            <w:vAlign w:val="bottom"/>
          </w:tcPr>
          <w:p>
            <w:pPr>
              <w:spacing w:after="0"/>
              <w:rPr>
                <w:sz w:val="18"/>
                <w:szCs w:val="18"/>
                <w:color w:val="auto"/>
              </w:rPr>
            </w:pPr>
          </w:p>
        </w:tc>
        <w:tc>
          <w:tcPr>
            <w:tcW w:w="15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Exercise Price ($)</w:t>
            </w:r>
          </w:p>
        </w:tc>
        <w:tc>
          <w:tcPr>
            <w:tcW w:w="28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28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240" w:type="dxa"/>
            <w:vAlign w:val="bottom"/>
            <w:tcBorders>
              <w:right w:val="single" w:sz="8" w:color="auto"/>
            </w:tcBorders>
          </w:tcPr>
          <w:p>
            <w:pPr>
              <w:spacing w:after="0"/>
              <w:rPr>
                <w:sz w:val="18"/>
                <w:szCs w:val="18"/>
                <w:color w:val="auto"/>
              </w:rPr>
            </w:pPr>
          </w:p>
        </w:tc>
      </w:tr>
      <w:tr>
        <w:trPr>
          <w:trHeight w:val="268"/>
        </w:trPr>
        <w:tc>
          <w:tcPr>
            <w:tcW w:w="140" w:type="dxa"/>
            <w:vAlign w:val="bottom"/>
            <w:tcBorders>
              <w:left w:val="single" w:sz="8" w:color="auto"/>
            </w:tcBorders>
          </w:tcPr>
          <w:p>
            <w:pPr>
              <w:spacing w:after="0"/>
              <w:rPr>
                <w:sz w:val="23"/>
                <w:szCs w:val="23"/>
                <w:color w:val="auto"/>
              </w:rPr>
            </w:pPr>
          </w:p>
        </w:tc>
        <w:tc>
          <w:tcPr>
            <w:tcW w:w="3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P. Crawford(4)</w:t>
            </w:r>
          </w:p>
        </w:tc>
        <w:tc>
          <w:tcPr>
            <w:tcW w:w="2280" w:type="dxa"/>
            <w:vAlign w:val="bottom"/>
            <w:gridSpan w:val="2"/>
            <w:shd w:val="clear" w:color="auto" w:fill="E5FFFF"/>
          </w:tcPr>
          <w:p>
            <w:pPr>
              <w:jc w:val="right"/>
              <w:ind w:right="181"/>
              <w:spacing w:after="0"/>
              <w:rPr>
                <w:sz w:val="20"/>
                <w:szCs w:val="20"/>
                <w:color w:val="auto"/>
              </w:rPr>
            </w:pPr>
            <w:r>
              <w:rPr>
                <w:rFonts w:ascii="Arial" w:cs="Arial" w:eastAsia="Arial" w:hAnsi="Arial"/>
                <w:sz w:val="19"/>
                <w:szCs w:val="19"/>
                <w:color w:val="auto"/>
              </w:rPr>
              <w:t>2,208</w:t>
            </w:r>
          </w:p>
        </w:tc>
        <w:tc>
          <w:tcPr>
            <w:tcW w:w="18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22.635</w:t>
            </w:r>
          </w:p>
        </w:tc>
        <w:tc>
          <w:tcPr>
            <w:tcW w:w="244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10,768</w:t>
            </w:r>
          </w:p>
        </w:tc>
        <w:tc>
          <w:tcPr>
            <w:tcW w:w="134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23,312</w:t>
            </w:r>
          </w:p>
        </w:tc>
        <w:tc>
          <w:tcPr>
            <w:tcW w:w="240" w:type="dxa"/>
            <w:vAlign w:val="bottom"/>
            <w:tcBorders>
              <w:right w:val="single" w:sz="8" w:color="auto"/>
            </w:tcBorders>
          </w:tcPr>
          <w:p>
            <w:pPr>
              <w:spacing w:after="0"/>
              <w:rPr>
                <w:sz w:val="23"/>
                <w:szCs w:val="23"/>
                <w:color w:val="auto"/>
              </w:rPr>
            </w:pPr>
          </w:p>
        </w:tc>
      </w:tr>
      <w:tr>
        <w:trPr>
          <w:trHeight w:val="265"/>
        </w:trPr>
        <w:tc>
          <w:tcPr>
            <w:tcW w:w="140" w:type="dxa"/>
            <w:vAlign w:val="bottom"/>
            <w:tcBorders>
              <w:left w:val="single" w:sz="8" w:color="auto"/>
            </w:tcBorders>
          </w:tcPr>
          <w:p>
            <w:pPr>
              <w:spacing w:after="0"/>
              <w:rPr>
                <w:sz w:val="23"/>
                <w:szCs w:val="23"/>
                <w:color w:val="auto"/>
              </w:rPr>
            </w:pPr>
          </w:p>
        </w:tc>
        <w:tc>
          <w:tcPr>
            <w:tcW w:w="3160" w:type="dxa"/>
            <w:vAlign w:val="bottom"/>
          </w:tcPr>
          <w:p>
            <w:pPr>
              <w:ind w:left="20"/>
              <w:spacing w:after="0"/>
              <w:rPr>
                <w:sz w:val="20"/>
                <w:szCs w:val="20"/>
                <w:color w:val="auto"/>
              </w:rPr>
            </w:pPr>
            <w:r>
              <w:rPr>
                <w:rFonts w:ascii="Arial" w:cs="Arial" w:eastAsia="Arial" w:hAnsi="Arial"/>
                <w:sz w:val="19"/>
                <w:szCs w:val="19"/>
                <w:color w:val="auto"/>
              </w:rPr>
              <w:t>N. DiPaolo</w:t>
            </w:r>
          </w:p>
        </w:tc>
        <w:tc>
          <w:tcPr>
            <w:tcW w:w="2280" w:type="dxa"/>
            <w:vAlign w:val="bottom"/>
            <w:gridSpan w:val="2"/>
          </w:tcPr>
          <w:p>
            <w:pPr>
              <w:jc w:val="right"/>
              <w:ind w:right="181"/>
              <w:spacing w:after="0"/>
              <w:rPr>
                <w:sz w:val="20"/>
                <w:szCs w:val="20"/>
                <w:color w:val="auto"/>
              </w:rPr>
            </w:pPr>
            <w:r>
              <w:rPr>
                <w:rFonts w:ascii="Arial" w:cs="Arial" w:eastAsia="Arial" w:hAnsi="Arial"/>
                <w:sz w:val="19"/>
                <w:szCs w:val="19"/>
                <w:color w:val="auto"/>
              </w:rPr>
              <w:t>2,208</w:t>
            </w:r>
          </w:p>
        </w:tc>
        <w:tc>
          <w:tcPr>
            <w:tcW w:w="1820" w:type="dxa"/>
            <w:vAlign w:val="bottom"/>
            <w:gridSpan w:val="2"/>
          </w:tcPr>
          <w:p>
            <w:pPr>
              <w:jc w:val="right"/>
              <w:ind w:right="101"/>
              <w:spacing w:after="0"/>
              <w:rPr>
                <w:sz w:val="20"/>
                <w:szCs w:val="20"/>
                <w:color w:val="auto"/>
              </w:rPr>
            </w:pPr>
            <w:r>
              <w:rPr>
                <w:rFonts w:ascii="Arial" w:cs="Arial" w:eastAsia="Arial" w:hAnsi="Arial"/>
                <w:sz w:val="19"/>
                <w:szCs w:val="19"/>
                <w:color w:val="auto"/>
              </w:rPr>
              <w:t>22.635</w:t>
            </w:r>
          </w:p>
        </w:tc>
        <w:tc>
          <w:tcPr>
            <w:tcW w:w="2440" w:type="dxa"/>
            <w:vAlign w:val="bottom"/>
            <w:gridSpan w:val="2"/>
          </w:tcPr>
          <w:p>
            <w:pPr>
              <w:jc w:val="right"/>
              <w:ind w:right="161"/>
              <w:spacing w:after="0"/>
              <w:rPr>
                <w:sz w:val="20"/>
                <w:szCs w:val="20"/>
                <w:color w:val="auto"/>
              </w:rPr>
            </w:pPr>
            <w:r>
              <w:rPr>
                <w:rFonts w:ascii="Arial" w:cs="Arial" w:eastAsia="Arial" w:hAnsi="Arial"/>
                <w:sz w:val="19"/>
                <w:szCs w:val="19"/>
                <w:color w:val="auto"/>
              </w:rPr>
              <w:t>10,768</w:t>
            </w:r>
          </w:p>
        </w:tc>
        <w:tc>
          <w:tcPr>
            <w:tcW w:w="1340" w:type="dxa"/>
            <w:vAlign w:val="bottom"/>
            <w:gridSpan w:val="2"/>
          </w:tcPr>
          <w:p>
            <w:pPr>
              <w:jc w:val="right"/>
              <w:ind w:right="41"/>
              <w:spacing w:after="0"/>
              <w:rPr>
                <w:sz w:val="20"/>
                <w:szCs w:val="20"/>
                <w:color w:val="auto"/>
              </w:rPr>
            </w:pPr>
            <w:r>
              <w:rPr>
                <w:rFonts w:ascii="Arial" w:cs="Arial" w:eastAsia="Arial" w:hAnsi="Arial"/>
                <w:sz w:val="19"/>
                <w:szCs w:val="19"/>
                <w:color w:val="auto"/>
              </w:rPr>
              <w:t>16,542</w:t>
            </w:r>
          </w:p>
        </w:tc>
        <w:tc>
          <w:tcPr>
            <w:tcW w:w="240" w:type="dxa"/>
            <w:vAlign w:val="bottom"/>
            <w:tcBorders>
              <w:right w:val="single" w:sz="8" w:color="auto"/>
            </w:tcBorders>
          </w:tcPr>
          <w:p>
            <w:pPr>
              <w:spacing w:after="0"/>
              <w:rPr>
                <w:sz w:val="23"/>
                <w:szCs w:val="23"/>
                <w:color w:val="auto"/>
              </w:rPr>
            </w:pPr>
          </w:p>
        </w:tc>
      </w:tr>
      <w:tr>
        <w:trPr>
          <w:trHeight w:val="275"/>
        </w:trPr>
        <w:tc>
          <w:tcPr>
            <w:tcW w:w="140" w:type="dxa"/>
            <w:vAlign w:val="bottom"/>
            <w:tcBorders>
              <w:left w:val="single" w:sz="8" w:color="auto"/>
            </w:tcBorders>
          </w:tcPr>
          <w:p>
            <w:pPr>
              <w:spacing w:after="0"/>
              <w:rPr>
                <w:sz w:val="23"/>
                <w:szCs w:val="23"/>
                <w:color w:val="auto"/>
              </w:rPr>
            </w:pPr>
          </w:p>
        </w:tc>
        <w:tc>
          <w:tcPr>
            <w:tcW w:w="3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A. Feldman</w:t>
            </w:r>
          </w:p>
        </w:tc>
        <w:tc>
          <w:tcPr>
            <w:tcW w:w="2280" w:type="dxa"/>
            <w:vAlign w:val="bottom"/>
            <w:gridSpan w:val="2"/>
            <w:shd w:val="clear" w:color="auto" w:fill="E5FFFF"/>
          </w:tcPr>
          <w:p>
            <w:pPr>
              <w:jc w:val="right"/>
              <w:ind w:right="181"/>
              <w:spacing w:after="0"/>
              <w:rPr>
                <w:sz w:val="20"/>
                <w:szCs w:val="20"/>
                <w:color w:val="auto"/>
              </w:rPr>
            </w:pPr>
            <w:r>
              <w:rPr>
                <w:rFonts w:ascii="Arial" w:cs="Arial" w:eastAsia="Arial" w:hAnsi="Arial"/>
                <w:sz w:val="19"/>
                <w:szCs w:val="19"/>
                <w:color w:val="auto"/>
              </w:rPr>
              <w:t>2,208</w:t>
            </w:r>
          </w:p>
        </w:tc>
        <w:tc>
          <w:tcPr>
            <w:tcW w:w="18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22.635</w:t>
            </w:r>
          </w:p>
        </w:tc>
        <w:tc>
          <w:tcPr>
            <w:tcW w:w="244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10,768</w:t>
            </w:r>
          </w:p>
        </w:tc>
        <w:tc>
          <w:tcPr>
            <w:tcW w:w="134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6,314</w:t>
            </w:r>
          </w:p>
        </w:tc>
        <w:tc>
          <w:tcPr>
            <w:tcW w:w="240" w:type="dxa"/>
            <w:vAlign w:val="bottom"/>
            <w:tcBorders>
              <w:right w:val="single" w:sz="8" w:color="auto"/>
            </w:tcBorders>
          </w:tcPr>
          <w:p>
            <w:pPr>
              <w:spacing w:after="0"/>
              <w:rPr>
                <w:sz w:val="23"/>
                <w:szCs w:val="23"/>
                <w:color w:val="auto"/>
              </w:rPr>
            </w:pPr>
          </w:p>
        </w:tc>
      </w:tr>
      <w:tr>
        <w:trPr>
          <w:trHeight w:val="265"/>
        </w:trPr>
        <w:tc>
          <w:tcPr>
            <w:tcW w:w="140" w:type="dxa"/>
            <w:vAlign w:val="bottom"/>
            <w:tcBorders>
              <w:left w:val="single" w:sz="8" w:color="auto"/>
            </w:tcBorders>
          </w:tcPr>
          <w:p>
            <w:pPr>
              <w:spacing w:after="0"/>
              <w:rPr>
                <w:sz w:val="23"/>
                <w:szCs w:val="23"/>
                <w:color w:val="auto"/>
              </w:rPr>
            </w:pPr>
          </w:p>
        </w:tc>
        <w:tc>
          <w:tcPr>
            <w:tcW w:w="3160" w:type="dxa"/>
            <w:vAlign w:val="bottom"/>
          </w:tcPr>
          <w:p>
            <w:pPr>
              <w:ind w:left="20"/>
              <w:spacing w:after="0"/>
              <w:rPr>
                <w:sz w:val="20"/>
                <w:szCs w:val="20"/>
                <w:color w:val="auto"/>
              </w:rPr>
            </w:pPr>
            <w:r>
              <w:rPr>
                <w:rFonts w:ascii="Arial" w:cs="Arial" w:eastAsia="Arial" w:hAnsi="Arial"/>
                <w:sz w:val="19"/>
                <w:szCs w:val="19"/>
                <w:color w:val="auto"/>
              </w:rPr>
              <w:t>P. Geier Jr.(4)</w:t>
            </w:r>
          </w:p>
        </w:tc>
        <w:tc>
          <w:tcPr>
            <w:tcW w:w="2280" w:type="dxa"/>
            <w:vAlign w:val="bottom"/>
            <w:gridSpan w:val="2"/>
          </w:tcPr>
          <w:p>
            <w:pPr>
              <w:jc w:val="right"/>
              <w:ind w:right="181"/>
              <w:spacing w:after="0"/>
              <w:rPr>
                <w:sz w:val="20"/>
                <w:szCs w:val="20"/>
                <w:color w:val="auto"/>
              </w:rPr>
            </w:pPr>
            <w:r>
              <w:rPr>
                <w:rFonts w:ascii="Arial" w:cs="Arial" w:eastAsia="Arial" w:hAnsi="Arial"/>
                <w:sz w:val="19"/>
                <w:szCs w:val="19"/>
                <w:color w:val="auto"/>
              </w:rPr>
              <w:t>2,208</w:t>
            </w:r>
          </w:p>
        </w:tc>
        <w:tc>
          <w:tcPr>
            <w:tcW w:w="1820" w:type="dxa"/>
            <w:vAlign w:val="bottom"/>
            <w:gridSpan w:val="2"/>
          </w:tcPr>
          <w:p>
            <w:pPr>
              <w:jc w:val="right"/>
              <w:ind w:right="101"/>
              <w:spacing w:after="0"/>
              <w:rPr>
                <w:sz w:val="20"/>
                <w:szCs w:val="20"/>
                <w:color w:val="auto"/>
              </w:rPr>
            </w:pPr>
            <w:r>
              <w:rPr>
                <w:rFonts w:ascii="Arial" w:cs="Arial" w:eastAsia="Arial" w:hAnsi="Arial"/>
                <w:sz w:val="19"/>
                <w:szCs w:val="19"/>
                <w:color w:val="auto"/>
              </w:rPr>
              <w:t>22.635</w:t>
            </w:r>
          </w:p>
        </w:tc>
        <w:tc>
          <w:tcPr>
            <w:tcW w:w="2440" w:type="dxa"/>
            <w:vAlign w:val="bottom"/>
            <w:gridSpan w:val="2"/>
          </w:tcPr>
          <w:p>
            <w:pPr>
              <w:jc w:val="right"/>
              <w:ind w:right="161"/>
              <w:spacing w:after="0"/>
              <w:rPr>
                <w:sz w:val="20"/>
                <w:szCs w:val="20"/>
                <w:color w:val="auto"/>
              </w:rPr>
            </w:pPr>
            <w:r>
              <w:rPr>
                <w:rFonts w:ascii="Arial" w:cs="Arial" w:eastAsia="Arial" w:hAnsi="Arial"/>
                <w:sz w:val="19"/>
                <w:szCs w:val="19"/>
                <w:color w:val="auto"/>
              </w:rPr>
              <w:t>10,768</w:t>
            </w:r>
          </w:p>
        </w:tc>
        <w:tc>
          <w:tcPr>
            <w:tcW w:w="1340" w:type="dxa"/>
            <w:vAlign w:val="bottom"/>
            <w:gridSpan w:val="2"/>
          </w:tcPr>
          <w:p>
            <w:pPr>
              <w:jc w:val="right"/>
              <w:ind w:right="41"/>
              <w:spacing w:after="0"/>
              <w:rPr>
                <w:sz w:val="20"/>
                <w:szCs w:val="20"/>
                <w:color w:val="auto"/>
              </w:rPr>
            </w:pPr>
            <w:r>
              <w:rPr>
                <w:rFonts w:ascii="Arial" w:cs="Arial" w:eastAsia="Arial" w:hAnsi="Arial"/>
                <w:sz w:val="19"/>
                <w:szCs w:val="19"/>
                <w:color w:val="auto"/>
              </w:rPr>
              <w:t>23,312</w:t>
            </w:r>
          </w:p>
        </w:tc>
        <w:tc>
          <w:tcPr>
            <w:tcW w:w="240" w:type="dxa"/>
            <w:vAlign w:val="bottom"/>
            <w:tcBorders>
              <w:right w:val="single" w:sz="8" w:color="auto"/>
            </w:tcBorders>
          </w:tcPr>
          <w:p>
            <w:pPr>
              <w:spacing w:after="0"/>
              <w:rPr>
                <w:sz w:val="23"/>
                <w:szCs w:val="23"/>
                <w:color w:val="auto"/>
              </w:rPr>
            </w:pPr>
          </w:p>
        </w:tc>
      </w:tr>
      <w:tr>
        <w:trPr>
          <w:trHeight w:val="275"/>
        </w:trPr>
        <w:tc>
          <w:tcPr>
            <w:tcW w:w="140" w:type="dxa"/>
            <w:vAlign w:val="bottom"/>
            <w:tcBorders>
              <w:left w:val="single" w:sz="8" w:color="auto"/>
            </w:tcBorders>
          </w:tcPr>
          <w:p>
            <w:pPr>
              <w:spacing w:after="0"/>
              <w:rPr>
                <w:sz w:val="23"/>
                <w:szCs w:val="23"/>
                <w:color w:val="auto"/>
              </w:rPr>
            </w:pPr>
          </w:p>
        </w:tc>
        <w:tc>
          <w:tcPr>
            <w:tcW w:w="3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J. Gilbert Jr.</w:t>
            </w:r>
          </w:p>
        </w:tc>
        <w:tc>
          <w:tcPr>
            <w:tcW w:w="2280" w:type="dxa"/>
            <w:vAlign w:val="bottom"/>
            <w:gridSpan w:val="2"/>
            <w:shd w:val="clear" w:color="auto" w:fill="E5FFFF"/>
          </w:tcPr>
          <w:p>
            <w:pPr>
              <w:jc w:val="right"/>
              <w:ind w:right="181"/>
              <w:spacing w:after="0"/>
              <w:rPr>
                <w:sz w:val="20"/>
                <w:szCs w:val="20"/>
                <w:color w:val="auto"/>
              </w:rPr>
            </w:pPr>
            <w:r>
              <w:rPr>
                <w:rFonts w:ascii="Arial" w:cs="Arial" w:eastAsia="Arial" w:hAnsi="Arial"/>
                <w:sz w:val="19"/>
                <w:szCs w:val="19"/>
                <w:color w:val="auto"/>
              </w:rPr>
              <w:t>2,208</w:t>
            </w:r>
          </w:p>
        </w:tc>
        <w:tc>
          <w:tcPr>
            <w:tcW w:w="18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22.635</w:t>
            </w:r>
          </w:p>
        </w:tc>
        <w:tc>
          <w:tcPr>
            <w:tcW w:w="244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10,768</w:t>
            </w:r>
          </w:p>
        </w:tc>
        <w:tc>
          <w:tcPr>
            <w:tcW w:w="134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25,520</w:t>
            </w:r>
          </w:p>
        </w:tc>
        <w:tc>
          <w:tcPr>
            <w:tcW w:w="240" w:type="dxa"/>
            <w:vAlign w:val="bottom"/>
            <w:tcBorders>
              <w:right w:val="single" w:sz="8" w:color="auto"/>
            </w:tcBorders>
          </w:tcPr>
          <w:p>
            <w:pPr>
              <w:spacing w:after="0"/>
              <w:rPr>
                <w:sz w:val="23"/>
                <w:szCs w:val="23"/>
                <w:color w:val="auto"/>
              </w:rPr>
            </w:pPr>
          </w:p>
        </w:tc>
      </w:tr>
      <w:tr>
        <w:trPr>
          <w:trHeight w:val="265"/>
        </w:trPr>
        <w:tc>
          <w:tcPr>
            <w:tcW w:w="140" w:type="dxa"/>
            <w:vAlign w:val="bottom"/>
            <w:tcBorders>
              <w:left w:val="single" w:sz="8" w:color="auto"/>
            </w:tcBorders>
          </w:tcPr>
          <w:p>
            <w:pPr>
              <w:spacing w:after="0"/>
              <w:rPr>
                <w:sz w:val="23"/>
                <w:szCs w:val="23"/>
                <w:color w:val="auto"/>
              </w:rPr>
            </w:pPr>
          </w:p>
        </w:tc>
        <w:tc>
          <w:tcPr>
            <w:tcW w:w="3160" w:type="dxa"/>
            <w:vAlign w:val="bottom"/>
          </w:tcPr>
          <w:p>
            <w:pPr>
              <w:ind w:left="20"/>
              <w:spacing w:after="0"/>
              <w:rPr>
                <w:sz w:val="20"/>
                <w:szCs w:val="20"/>
                <w:color w:val="auto"/>
              </w:rPr>
            </w:pPr>
            <w:r>
              <w:rPr>
                <w:rFonts w:ascii="Arial" w:cs="Arial" w:eastAsia="Arial" w:hAnsi="Arial"/>
                <w:sz w:val="19"/>
                <w:szCs w:val="19"/>
                <w:color w:val="auto"/>
              </w:rPr>
              <w:t>M. McKenna</w:t>
            </w:r>
          </w:p>
        </w:tc>
        <w:tc>
          <w:tcPr>
            <w:tcW w:w="2280" w:type="dxa"/>
            <w:vAlign w:val="bottom"/>
            <w:gridSpan w:val="2"/>
          </w:tcPr>
          <w:p>
            <w:pPr>
              <w:jc w:val="right"/>
              <w:ind w:right="181"/>
              <w:spacing w:after="0"/>
              <w:rPr>
                <w:sz w:val="20"/>
                <w:szCs w:val="20"/>
                <w:color w:val="auto"/>
              </w:rPr>
            </w:pPr>
            <w:r>
              <w:rPr>
                <w:rFonts w:ascii="Arial" w:cs="Arial" w:eastAsia="Arial" w:hAnsi="Arial"/>
                <w:sz w:val="19"/>
                <w:szCs w:val="19"/>
                <w:color w:val="auto"/>
              </w:rPr>
              <w:t>2,208</w:t>
            </w:r>
          </w:p>
        </w:tc>
        <w:tc>
          <w:tcPr>
            <w:tcW w:w="1820" w:type="dxa"/>
            <w:vAlign w:val="bottom"/>
            <w:gridSpan w:val="2"/>
          </w:tcPr>
          <w:p>
            <w:pPr>
              <w:jc w:val="right"/>
              <w:ind w:right="101"/>
              <w:spacing w:after="0"/>
              <w:rPr>
                <w:sz w:val="20"/>
                <w:szCs w:val="20"/>
                <w:color w:val="auto"/>
              </w:rPr>
            </w:pPr>
            <w:r>
              <w:rPr>
                <w:rFonts w:ascii="Arial" w:cs="Arial" w:eastAsia="Arial" w:hAnsi="Arial"/>
                <w:sz w:val="19"/>
                <w:szCs w:val="19"/>
                <w:color w:val="auto"/>
              </w:rPr>
              <w:t>22.635</w:t>
            </w:r>
          </w:p>
        </w:tc>
        <w:tc>
          <w:tcPr>
            <w:tcW w:w="2440" w:type="dxa"/>
            <w:vAlign w:val="bottom"/>
            <w:gridSpan w:val="2"/>
          </w:tcPr>
          <w:p>
            <w:pPr>
              <w:jc w:val="right"/>
              <w:ind w:right="161"/>
              <w:spacing w:after="0"/>
              <w:rPr>
                <w:sz w:val="20"/>
                <w:szCs w:val="20"/>
                <w:color w:val="auto"/>
              </w:rPr>
            </w:pPr>
            <w:r>
              <w:rPr>
                <w:rFonts w:ascii="Arial" w:cs="Arial" w:eastAsia="Arial" w:hAnsi="Arial"/>
                <w:sz w:val="19"/>
                <w:szCs w:val="19"/>
                <w:color w:val="auto"/>
              </w:rPr>
              <w:t>10,768</w:t>
            </w:r>
          </w:p>
        </w:tc>
        <w:tc>
          <w:tcPr>
            <w:tcW w:w="1340" w:type="dxa"/>
            <w:vAlign w:val="bottom"/>
            <w:gridSpan w:val="2"/>
          </w:tcPr>
          <w:p>
            <w:pPr>
              <w:jc w:val="right"/>
              <w:ind w:right="41"/>
              <w:spacing w:after="0"/>
              <w:rPr>
                <w:sz w:val="20"/>
                <w:szCs w:val="20"/>
                <w:color w:val="auto"/>
              </w:rPr>
            </w:pPr>
            <w:r>
              <w:rPr>
                <w:rFonts w:ascii="Arial" w:cs="Arial" w:eastAsia="Arial" w:hAnsi="Arial"/>
                <w:sz w:val="19"/>
                <w:szCs w:val="19"/>
                <w:color w:val="auto"/>
              </w:rPr>
              <w:t>4,287</w:t>
            </w:r>
          </w:p>
        </w:tc>
        <w:tc>
          <w:tcPr>
            <w:tcW w:w="240" w:type="dxa"/>
            <w:vAlign w:val="bottom"/>
            <w:tcBorders>
              <w:right w:val="single" w:sz="8" w:color="auto"/>
            </w:tcBorders>
          </w:tcPr>
          <w:p>
            <w:pPr>
              <w:spacing w:after="0"/>
              <w:rPr>
                <w:sz w:val="23"/>
                <w:szCs w:val="23"/>
                <w:color w:val="auto"/>
              </w:rPr>
            </w:pPr>
          </w:p>
        </w:tc>
      </w:tr>
      <w:tr>
        <w:trPr>
          <w:trHeight w:val="275"/>
        </w:trPr>
        <w:tc>
          <w:tcPr>
            <w:tcW w:w="140" w:type="dxa"/>
            <w:vAlign w:val="bottom"/>
            <w:tcBorders>
              <w:left w:val="single" w:sz="8" w:color="auto"/>
            </w:tcBorders>
          </w:tcPr>
          <w:p>
            <w:pPr>
              <w:spacing w:after="0"/>
              <w:rPr>
                <w:sz w:val="23"/>
                <w:szCs w:val="23"/>
                <w:color w:val="auto"/>
              </w:rPr>
            </w:pPr>
          </w:p>
        </w:tc>
        <w:tc>
          <w:tcPr>
            <w:tcW w:w="3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J. Preston</w:t>
            </w:r>
          </w:p>
        </w:tc>
        <w:tc>
          <w:tcPr>
            <w:tcW w:w="2280" w:type="dxa"/>
            <w:vAlign w:val="bottom"/>
            <w:gridSpan w:val="2"/>
            <w:shd w:val="clear" w:color="auto" w:fill="E5FFFF"/>
          </w:tcPr>
          <w:p>
            <w:pPr>
              <w:jc w:val="right"/>
              <w:ind w:right="181"/>
              <w:spacing w:after="0"/>
              <w:rPr>
                <w:sz w:val="20"/>
                <w:szCs w:val="20"/>
                <w:color w:val="auto"/>
              </w:rPr>
            </w:pPr>
            <w:r>
              <w:rPr>
                <w:rFonts w:ascii="Arial" w:cs="Arial" w:eastAsia="Arial" w:hAnsi="Arial"/>
                <w:sz w:val="19"/>
                <w:szCs w:val="19"/>
                <w:color w:val="auto"/>
              </w:rPr>
              <w:t>2,208</w:t>
            </w:r>
          </w:p>
        </w:tc>
        <w:tc>
          <w:tcPr>
            <w:tcW w:w="18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22.635</w:t>
            </w:r>
          </w:p>
        </w:tc>
        <w:tc>
          <w:tcPr>
            <w:tcW w:w="244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10,768</w:t>
            </w:r>
          </w:p>
        </w:tc>
        <w:tc>
          <w:tcPr>
            <w:tcW w:w="134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25,520</w:t>
            </w:r>
          </w:p>
        </w:tc>
        <w:tc>
          <w:tcPr>
            <w:tcW w:w="240" w:type="dxa"/>
            <w:vAlign w:val="bottom"/>
            <w:tcBorders>
              <w:right w:val="single" w:sz="8" w:color="auto"/>
            </w:tcBorders>
          </w:tcPr>
          <w:p>
            <w:pPr>
              <w:spacing w:after="0"/>
              <w:rPr>
                <w:sz w:val="23"/>
                <w:szCs w:val="23"/>
                <w:color w:val="auto"/>
              </w:rPr>
            </w:pPr>
          </w:p>
        </w:tc>
      </w:tr>
      <w:tr>
        <w:trPr>
          <w:trHeight w:val="265"/>
        </w:trPr>
        <w:tc>
          <w:tcPr>
            <w:tcW w:w="140" w:type="dxa"/>
            <w:vAlign w:val="bottom"/>
            <w:tcBorders>
              <w:left w:val="single" w:sz="8" w:color="auto"/>
            </w:tcBorders>
          </w:tcPr>
          <w:p>
            <w:pPr>
              <w:spacing w:after="0"/>
              <w:rPr>
                <w:sz w:val="23"/>
                <w:szCs w:val="23"/>
                <w:color w:val="auto"/>
              </w:rPr>
            </w:pPr>
          </w:p>
        </w:tc>
        <w:tc>
          <w:tcPr>
            <w:tcW w:w="3160" w:type="dxa"/>
            <w:vAlign w:val="bottom"/>
          </w:tcPr>
          <w:p>
            <w:pPr>
              <w:ind w:left="20"/>
              <w:spacing w:after="0"/>
              <w:rPr>
                <w:sz w:val="20"/>
                <w:szCs w:val="20"/>
                <w:color w:val="auto"/>
              </w:rPr>
            </w:pPr>
            <w:r>
              <w:rPr>
                <w:rFonts w:ascii="Arial" w:cs="Arial" w:eastAsia="Arial" w:hAnsi="Arial"/>
                <w:sz w:val="19"/>
                <w:szCs w:val="19"/>
                <w:color w:val="auto"/>
              </w:rPr>
              <w:t>D. Schwartz</w:t>
            </w:r>
          </w:p>
        </w:tc>
        <w:tc>
          <w:tcPr>
            <w:tcW w:w="2280" w:type="dxa"/>
            <w:vAlign w:val="bottom"/>
            <w:gridSpan w:val="2"/>
          </w:tcPr>
          <w:p>
            <w:pPr>
              <w:jc w:val="right"/>
              <w:ind w:right="181"/>
              <w:spacing w:after="0"/>
              <w:rPr>
                <w:sz w:val="20"/>
                <w:szCs w:val="20"/>
                <w:color w:val="auto"/>
              </w:rPr>
            </w:pPr>
            <w:r>
              <w:rPr>
                <w:rFonts w:ascii="Arial" w:cs="Arial" w:eastAsia="Arial" w:hAnsi="Arial"/>
                <w:sz w:val="19"/>
                <w:szCs w:val="19"/>
                <w:color w:val="auto"/>
              </w:rPr>
              <w:t>2,208</w:t>
            </w:r>
          </w:p>
        </w:tc>
        <w:tc>
          <w:tcPr>
            <w:tcW w:w="1820" w:type="dxa"/>
            <w:vAlign w:val="bottom"/>
            <w:gridSpan w:val="2"/>
          </w:tcPr>
          <w:p>
            <w:pPr>
              <w:jc w:val="right"/>
              <w:ind w:right="101"/>
              <w:spacing w:after="0"/>
              <w:rPr>
                <w:sz w:val="20"/>
                <w:szCs w:val="20"/>
                <w:color w:val="auto"/>
              </w:rPr>
            </w:pPr>
            <w:r>
              <w:rPr>
                <w:rFonts w:ascii="Arial" w:cs="Arial" w:eastAsia="Arial" w:hAnsi="Arial"/>
                <w:sz w:val="19"/>
                <w:szCs w:val="19"/>
                <w:color w:val="auto"/>
              </w:rPr>
              <w:t>22.635</w:t>
            </w:r>
          </w:p>
        </w:tc>
        <w:tc>
          <w:tcPr>
            <w:tcW w:w="2440" w:type="dxa"/>
            <w:vAlign w:val="bottom"/>
            <w:gridSpan w:val="2"/>
          </w:tcPr>
          <w:p>
            <w:pPr>
              <w:jc w:val="right"/>
              <w:ind w:right="161"/>
              <w:spacing w:after="0"/>
              <w:rPr>
                <w:sz w:val="20"/>
                <w:szCs w:val="20"/>
                <w:color w:val="auto"/>
              </w:rPr>
            </w:pPr>
            <w:r>
              <w:rPr>
                <w:rFonts w:ascii="Arial" w:cs="Arial" w:eastAsia="Arial" w:hAnsi="Arial"/>
                <w:sz w:val="19"/>
                <w:szCs w:val="19"/>
                <w:color w:val="auto"/>
              </w:rPr>
              <w:t>10,768</w:t>
            </w:r>
          </w:p>
        </w:tc>
        <w:tc>
          <w:tcPr>
            <w:tcW w:w="1340" w:type="dxa"/>
            <w:vAlign w:val="bottom"/>
            <w:gridSpan w:val="2"/>
          </w:tcPr>
          <w:p>
            <w:pPr>
              <w:jc w:val="right"/>
              <w:ind w:right="41"/>
              <w:spacing w:after="0"/>
              <w:rPr>
                <w:sz w:val="20"/>
                <w:szCs w:val="20"/>
                <w:color w:val="auto"/>
              </w:rPr>
            </w:pPr>
            <w:r>
              <w:rPr>
                <w:rFonts w:ascii="Arial" w:cs="Arial" w:eastAsia="Arial" w:hAnsi="Arial"/>
                <w:sz w:val="19"/>
                <w:szCs w:val="19"/>
                <w:color w:val="auto"/>
              </w:rPr>
              <w:t>25,520</w:t>
            </w:r>
          </w:p>
        </w:tc>
        <w:tc>
          <w:tcPr>
            <w:tcW w:w="240" w:type="dxa"/>
            <w:vAlign w:val="bottom"/>
            <w:tcBorders>
              <w:right w:val="single" w:sz="8" w:color="auto"/>
            </w:tcBorders>
          </w:tcPr>
          <w:p>
            <w:pPr>
              <w:spacing w:after="0"/>
              <w:rPr>
                <w:sz w:val="23"/>
                <w:szCs w:val="23"/>
                <w:color w:val="auto"/>
              </w:rPr>
            </w:pPr>
          </w:p>
        </w:tc>
      </w:tr>
      <w:tr>
        <w:trPr>
          <w:trHeight w:val="275"/>
        </w:trPr>
        <w:tc>
          <w:tcPr>
            <w:tcW w:w="140" w:type="dxa"/>
            <w:vAlign w:val="bottom"/>
            <w:tcBorders>
              <w:left w:val="single" w:sz="8" w:color="auto"/>
            </w:tcBorders>
          </w:tcPr>
          <w:p>
            <w:pPr>
              <w:spacing w:after="0"/>
              <w:rPr>
                <w:sz w:val="23"/>
                <w:szCs w:val="23"/>
                <w:color w:val="auto"/>
              </w:rPr>
            </w:pPr>
          </w:p>
        </w:tc>
        <w:tc>
          <w:tcPr>
            <w:tcW w:w="3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C. Sinclair</w:t>
            </w:r>
          </w:p>
        </w:tc>
        <w:tc>
          <w:tcPr>
            <w:tcW w:w="2280" w:type="dxa"/>
            <w:vAlign w:val="bottom"/>
            <w:gridSpan w:val="2"/>
            <w:shd w:val="clear" w:color="auto" w:fill="E5FFFF"/>
          </w:tcPr>
          <w:p>
            <w:pPr>
              <w:jc w:val="right"/>
              <w:ind w:right="181"/>
              <w:spacing w:after="0"/>
              <w:rPr>
                <w:sz w:val="20"/>
                <w:szCs w:val="20"/>
                <w:color w:val="auto"/>
              </w:rPr>
            </w:pPr>
            <w:r>
              <w:rPr>
                <w:rFonts w:ascii="Arial" w:cs="Arial" w:eastAsia="Arial" w:hAnsi="Arial"/>
                <w:sz w:val="19"/>
                <w:szCs w:val="19"/>
                <w:color w:val="auto"/>
              </w:rPr>
              <w:t>2,208</w:t>
            </w:r>
          </w:p>
        </w:tc>
        <w:tc>
          <w:tcPr>
            <w:tcW w:w="18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22.635</w:t>
            </w:r>
          </w:p>
        </w:tc>
        <w:tc>
          <w:tcPr>
            <w:tcW w:w="244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10,768</w:t>
            </w:r>
          </w:p>
        </w:tc>
        <w:tc>
          <w:tcPr>
            <w:tcW w:w="134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25,520</w:t>
            </w:r>
          </w:p>
        </w:tc>
        <w:tc>
          <w:tcPr>
            <w:tcW w:w="240" w:type="dxa"/>
            <w:vAlign w:val="bottom"/>
            <w:tcBorders>
              <w:right w:val="single" w:sz="8" w:color="auto"/>
            </w:tcBorders>
          </w:tcPr>
          <w:p>
            <w:pPr>
              <w:spacing w:after="0"/>
              <w:rPr>
                <w:sz w:val="23"/>
                <w:szCs w:val="23"/>
                <w:color w:val="auto"/>
              </w:rPr>
            </w:pPr>
          </w:p>
        </w:tc>
      </w:tr>
      <w:tr>
        <w:trPr>
          <w:trHeight w:val="265"/>
        </w:trPr>
        <w:tc>
          <w:tcPr>
            <w:tcW w:w="140" w:type="dxa"/>
            <w:vAlign w:val="bottom"/>
            <w:tcBorders>
              <w:left w:val="single" w:sz="8" w:color="auto"/>
            </w:tcBorders>
          </w:tcPr>
          <w:p>
            <w:pPr>
              <w:spacing w:after="0"/>
              <w:rPr>
                <w:sz w:val="23"/>
                <w:szCs w:val="23"/>
                <w:color w:val="auto"/>
              </w:rPr>
            </w:pPr>
          </w:p>
        </w:tc>
        <w:tc>
          <w:tcPr>
            <w:tcW w:w="3160" w:type="dxa"/>
            <w:vAlign w:val="bottom"/>
          </w:tcPr>
          <w:p>
            <w:pPr>
              <w:ind w:left="20"/>
              <w:spacing w:after="0"/>
              <w:rPr>
                <w:sz w:val="20"/>
                <w:szCs w:val="20"/>
                <w:color w:val="auto"/>
              </w:rPr>
            </w:pPr>
            <w:r>
              <w:rPr>
                <w:rFonts w:ascii="Arial" w:cs="Arial" w:eastAsia="Arial" w:hAnsi="Arial"/>
                <w:sz w:val="19"/>
                <w:szCs w:val="19"/>
                <w:color w:val="auto"/>
              </w:rPr>
              <w:t>C. Turpin</w:t>
            </w:r>
          </w:p>
        </w:tc>
        <w:tc>
          <w:tcPr>
            <w:tcW w:w="2280" w:type="dxa"/>
            <w:vAlign w:val="bottom"/>
            <w:gridSpan w:val="2"/>
          </w:tcPr>
          <w:p>
            <w:pPr>
              <w:jc w:val="right"/>
              <w:ind w:right="181"/>
              <w:spacing w:after="0"/>
              <w:rPr>
                <w:sz w:val="20"/>
                <w:szCs w:val="20"/>
                <w:color w:val="auto"/>
              </w:rPr>
            </w:pPr>
            <w:r>
              <w:rPr>
                <w:rFonts w:ascii="Arial" w:cs="Arial" w:eastAsia="Arial" w:hAnsi="Arial"/>
                <w:sz w:val="19"/>
                <w:szCs w:val="19"/>
                <w:color w:val="auto"/>
              </w:rPr>
              <w:t>2,208</w:t>
            </w:r>
          </w:p>
        </w:tc>
        <w:tc>
          <w:tcPr>
            <w:tcW w:w="1820" w:type="dxa"/>
            <w:vAlign w:val="bottom"/>
            <w:gridSpan w:val="2"/>
          </w:tcPr>
          <w:p>
            <w:pPr>
              <w:jc w:val="right"/>
              <w:ind w:right="101"/>
              <w:spacing w:after="0"/>
              <w:rPr>
                <w:sz w:val="20"/>
                <w:szCs w:val="20"/>
                <w:color w:val="auto"/>
              </w:rPr>
            </w:pPr>
            <w:r>
              <w:rPr>
                <w:rFonts w:ascii="Arial" w:cs="Arial" w:eastAsia="Arial" w:hAnsi="Arial"/>
                <w:sz w:val="19"/>
                <w:szCs w:val="19"/>
                <w:color w:val="auto"/>
              </w:rPr>
              <w:t>22.635</w:t>
            </w:r>
          </w:p>
        </w:tc>
        <w:tc>
          <w:tcPr>
            <w:tcW w:w="2440" w:type="dxa"/>
            <w:vAlign w:val="bottom"/>
            <w:gridSpan w:val="2"/>
          </w:tcPr>
          <w:p>
            <w:pPr>
              <w:jc w:val="right"/>
              <w:ind w:right="161"/>
              <w:spacing w:after="0"/>
              <w:rPr>
                <w:sz w:val="20"/>
                <w:szCs w:val="20"/>
                <w:color w:val="auto"/>
              </w:rPr>
            </w:pPr>
            <w:r>
              <w:rPr>
                <w:rFonts w:ascii="Arial" w:cs="Arial" w:eastAsia="Arial" w:hAnsi="Arial"/>
                <w:sz w:val="19"/>
                <w:szCs w:val="19"/>
                <w:color w:val="auto"/>
              </w:rPr>
              <w:t>10,768</w:t>
            </w:r>
          </w:p>
        </w:tc>
        <w:tc>
          <w:tcPr>
            <w:tcW w:w="1340" w:type="dxa"/>
            <w:vAlign w:val="bottom"/>
            <w:gridSpan w:val="2"/>
          </w:tcPr>
          <w:p>
            <w:pPr>
              <w:jc w:val="right"/>
              <w:ind w:right="41"/>
              <w:spacing w:after="0"/>
              <w:rPr>
                <w:sz w:val="20"/>
                <w:szCs w:val="20"/>
                <w:color w:val="auto"/>
              </w:rPr>
            </w:pPr>
            <w:r>
              <w:rPr>
                <w:rFonts w:ascii="Arial" w:cs="Arial" w:eastAsia="Arial" w:hAnsi="Arial"/>
                <w:sz w:val="19"/>
                <w:szCs w:val="19"/>
                <w:color w:val="auto"/>
              </w:rPr>
              <w:t>20,815</w:t>
            </w:r>
          </w:p>
        </w:tc>
        <w:tc>
          <w:tcPr>
            <w:tcW w:w="240" w:type="dxa"/>
            <w:vAlign w:val="bottom"/>
            <w:tcBorders>
              <w:right w:val="single" w:sz="8" w:color="auto"/>
            </w:tcBorders>
          </w:tcPr>
          <w:p>
            <w:pPr>
              <w:spacing w:after="0"/>
              <w:rPr>
                <w:sz w:val="23"/>
                <w:szCs w:val="23"/>
                <w:color w:val="auto"/>
              </w:rPr>
            </w:pPr>
          </w:p>
        </w:tc>
      </w:tr>
      <w:tr>
        <w:trPr>
          <w:trHeight w:val="275"/>
        </w:trPr>
        <w:tc>
          <w:tcPr>
            <w:tcW w:w="140" w:type="dxa"/>
            <w:vAlign w:val="bottom"/>
            <w:tcBorders>
              <w:left w:val="single" w:sz="8" w:color="auto"/>
            </w:tcBorders>
          </w:tcPr>
          <w:p>
            <w:pPr>
              <w:spacing w:after="0"/>
              <w:rPr>
                <w:sz w:val="23"/>
                <w:szCs w:val="23"/>
                <w:color w:val="auto"/>
              </w:rPr>
            </w:pPr>
          </w:p>
        </w:tc>
        <w:tc>
          <w:tcPr>
            <w:tcW w:w="3160" w:type="dxa"/>
            <w:vAlign w:val="bottom"/>
            <w:shd w:val="clear" w:color="auto" w:fill="E5FFFF"/>
          </w:tcPr>
          <w:p>
            <w:pPr>
              <w:ind w:left="20"/>
              <w:spacing w:after="0"/>
              <w:rPr>
                <w:sz w:val="20"/>
                <w:szCs w:val="20"/>
                <w:color w:val="auto"/>
              </w:rPr>
            </w:pPr>
            <w:r>
              <w:rPr>
                <w:rFonts w:ascii="Arial" w:cs="Arial" w:eastAsia="Arial" w:hAnsi="Arial"/>
                <w:sz w:val="19"/>
                <w:szCs w:val="19"/>
                <w:color w:val="auto"/>
              </w:rPr>
              <w:t>D. Young</w:t>
            </w:r>
          </w:p>
        </w:tc>
        <w:tc>
          <w:tcPr>
            <w:tcW w:w="2280" w:type="dxa"/>
            <w:vAlign w:val="bottom"/>
            <w:gridSpan w:val="2"/>
            <w:shd w:val="clear" w:color="auto" w:fill="E5FFFF"/>
          </w:tcPr>
          <w:p>
            <w:pPr>
              <w:jc w:val="right"/>
              <w:ind w:right="181"/>
              <w:spacing w:after="0"/>
              <w:rPr>
                <w:sz w:val="20"/>
                <w:szCs w:val="20"/>
                <w:color w:val="auto"/>
              </w:rPr>
            </w:pPr>
            <w:r>
              <w:rPr>
                <w:rFonts w:ascii="Arial" w:cs="Arial" w:eastAsia="Arial" w:hAnsi="Arial"/>
                <w:sz w:val="19"/>
                <w:szCs w:val="19"/>
                <w:color w:val="auto"/>
              </w:rPr>
              <w:t>2,208</w:t>
            </w:r>
          </w:p>
        </w:tc>
        <w:tc>
          <w:tcPr>
            <w:tcW w:w="1820" w:type="dxa"/>
            <w:vAlign w:val="bottom"/>
            <w:gridSpan w:val="2"/>
            <w:shd w:val="clear" w:color="auto" w:fill="E5FFFF"/>
          </w:tcPr>
          <w:p>
            <w:pPr>
              <w:jc w:val="right"/>
              <w:ind w:right="101"/>
              <w:spacing w:after="0"/>
              <w:rPr>
                <w:sz w:val="20"/>
                <w:szCs w:val="20"/>
                <w:color w:val="auto"/>
              </w:rPr>
            </w:pPr>
            <w:r>
              <w:rPr>
                <w:rFonts w:ascii="Arial" w:cs="Arial" w:eastAsia="Arial" w:hAnsi="Arial"/>
                <w:sz w:val="19"/>
                <w:szCs w:val="19"/>
                <w:color w:val="auto"/>
              </w:rPr>
              <w:t>22.635</w:t>
            </w:r>
          </w:p>
        </w:tc>
        <w:tc>
          <w:tcPr>
            <w:tcW w:w="244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10,768</w:t>
            </w:r>
          </w:p>
        </w:tc>
        <w:tc>
          <w:tcPr>
            <w:tcW w:w="134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20,815</w:t>
            </w:r>
          </w:p>
        </w:tc>
        <w:tc>
          <w:tcPr>
            <w:tcW w:w="240" w:type="dxa"/>
            <w:vAlign w:val="bottom"/>
            <w:tcBorders>
              <w:right w:val="single" w:sz="8" w:color="auto"/>
            </w:tcBorders>
          </w:tcPr>
          <w:p>
            <w:pPr>
              <w:spacing w:after="0"/>
              <w:rPr>
                <w:sz w:val="23"/>
                <w:szCs w:val="23"/>
                <w:color w:val="auto"/>
              </w:rPr>
            </w:pPr>
          </w:p>
        </w:tc>
      </w:tr>
      <w:tr>
        <w:trPr>
          <w:trHeight w:val="226"/>
        </w:trPr>
        <w:tc>
          <w:tcPr>
            <w:tcW w:w="140" w:type="dxa"/>
            <w:vAlign w:val="bottom"/>
            <w:tcBorders>
              <w:left w:val="single" w:sz="8" w:color="auto"/>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bl>
    <w:p>
      <w:pPr>
        <w:spacing w:after="0" w:line="362" w:lineRule="exact"/>
        <w:rPr>
          <w:sz w:val="20"/>
          <w:szCs w:val="20"/>
          <w:color w:val="auto"/>
        </w:rPr>
      </w:pPr>
    </w:p>
    <w:p>
      <w:pPr>
        <w:ind w:left="420" w:hanging="314"/>
        <w:spacing w:after="0"/>
        <w:tabs>
          <w:tab w:leader="none" w:pos="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Retired as a director on May 30, 2007. Options granted in 2007 were cancelled as of his retirement date.</w:t>
      </w:r>
    </w:p>
    <w:p>
      <w:pPr>
        <w:spacing w:after="0" w:line="132" w:lineRule="exact"/>
        <w:rPr>
          <w:rFonts w:ascii="Arial" w:cs="Arial" w:eastAsia="Arial" w:hAnsi="Arial"/>
          <w:sz w:val="19"/>
          <w:szCs w:val="19"/>
          <w:color w:val="auto"/>
        </w:rPr>
      </w:pPr>
    </w:p>
    <w:p>
      <w:pPr>
        <w:ind w:left="420" w:hanging="314"/>
        <w:spacing w:after="0"/>
        <w:tabs>
          <w:tab w:leader="none" w:pos="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Stock payment deferred in the form of stock units issued under Foot Locker’s stock plan.</w:t>
      </w:r>
    </w:p>
    <w:p>
      <w:pPr>
        <w:spacing w:after="0" w:line="132" w:lineRule="exact"/>
        <w:rPr>
          <w:rFonts w:ascii="Arial" w:cs="Arial" w:eastAsia="Arial" w:hAnsi="Arial"/>
          <w:sz w:val="19"/>
          <w:szCs w:val="19"/>
          <w:color w:val="auto"/>
        </w:rPr>
      </w:pPr>
    </w:p>
    <w:p>
      <w:pPr>
        <w:ind w:left="420" w:hanging="314"/>
        <w:spacing w:after="0"/>
        <w:tabs>
          <w:tab w:leader="none" w:pos="4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Stock payment and portion of cash payment for fiscal 2007 services deferred under Foot Locker’s stock plan.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Retirement Plan</w:t>
      </w:r>
    </w:p>
    <w:p>
      <w:pPr>
        <w:spacing w:after="0" w:line="125" w:lineRule="exact"/>
        <w:rPr>
          <w:sz w:val="20"/>
          <w:szCs w:val="20"/>
          <w:color w:val="auto"/>
        </w:rPr>
      </w:pPr>
    </w:p>
    <w:p>
      <w:pPr>
        <w:ind w:right="80" w:firstLine="357"/>
        <w:spacing w:after="0" w:line="262" w:lineRule="auto"/>
        <w:rPr>
          <w:sz w:val="20"/>
          <w:szCs w:val="20"/>
          <w:color w:val="auto"/>
        </w:rPr>
      </w:pPr>
      <w:r>
        <w:rPr>
          <w:rFonts w:ascii="Arial" w:cs="Arial" w:eastAsia="Arial" w:hAnsi="Arial"/>
          <w:sz w:val="19"/>
          <w:szCs w:val="19"/>
          <w:color w:val="auto"/>
        </w:rPr>
        <w:t>The Directors’ Retirement Plan was frozen as of December 31, 1995. Consequently, only Jarobin Gilbert Jr. and James E. Preston are entitled to receive a benefit under this plan when their service as directors ends because they had completed at least five years of service as directors on December 31, 1995. Messrs. Gilbert and Preston will receive an annual retirement benefit of $24,000 for a period of 10 years after they leave the Board or until their death, if sooner.</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and Officers Indemnification and Insurance</w:t>
      </w:r>
    </w:p>
    <w:p>
      <w:pPr>
        <w:spacing w:after="0" w:line="125" w:lineRule="exact"/>
        <w:rPr>
          <w:sz w:val="20"/>
          <w:szCs w:val="20"/>
          <w:color w:val="auto"/>
        </w:rPr>
      </w:pPr>
    </w:p>
    <w:p>
      <w:pPr>
        <w:ind w:right="20" w:firstLine="357"/>
        <w:spacing w:after="0" w:line="290" w:lineRule="auto"/>
        <w:rPr>
          <w:sz w:val="20"/>
          <w:szCs w:val="20"/>
          <w:color w:val="auto"/>
        </w:rPr>
      </w:pPr>
      <w:r>
        <w:rPr>
          <w:rFonts w:ascii="Arial" w:cs="Arial" w:eastAsia="Arial" w:hAnsi="Arial"/>
          <w:sz w:val="17"/>
          <w:szCs w:val="17"/>
          <w:color w:val="auto"/>
        </w:rPr>
        <w:t>We have purchased directors and officers liability and corporation reimbursement insurance from a group of insurers comprising ACE American Insurance Co., St. Paul Mercury Insurance, RLI Insurance Co., Federal Insurance Co., AIG Cat Excess Liability International, Allied World Assurance Company, Ltd., and XL Bermuda Ltd. These policies insure the Company and all of the Company’s wholly owned subsidiaries. They also insure all of the directors and officers of the Company and the covered subsidiaries. The policies were written for a term of 13 months, from September 12, 2007 until October 12, 2008. The total annual premium for these policies, including fees, is $1,558,182. Directors and officers of the Company, as well as all other employees with fiduciary responsibilities under the Employee Retirement Income Security Act of 1974, as amended, are insured under policies issued by a group of insurers comprising Arch Insurance Co., St. Paul Mercury Insurance Co., Continental Casualty Co. and RLI Insurance Co., which have a total premium, including fees, of $483,168 for the 13-month period ending October 12, 2008.</w:t>
      </w:r>
    </w:p>
    <w:p>
      <w:pPr>
        <w:spacing w:after="0" w:line="55"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The Company has entered into indemnification agreements with its directors and officers, as approved by shareholders at the 1987 annual meeting.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EXECUTIVE COMPENSATION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Compensation Discussion and Analysis</w:t>
      </w:r>
    </w:p>
    <w:p>
      <w:pPr>
        <w:spacing w:after="0" w:line="125"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This is a discussion and analysis of our compensation program as it applies to the executive officers named in the Summary Compensation Table on Page 29.</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3" w:name="page24"/>
    <w:bookmarkEnd w:id="23"/>
    <w:p>
      <w:pPr>
        <w:spacing w:after="0"/>
        <w:rPr>
          <w:sz w:val="20"/>
          <w:szCs w:val="20"/>
          <w:color w:val="auto"/>
        </w:rPr>
      </w:pPr>
      <w:r>
        <w:rPr>
          <w:rFonts w:ascii="Arial" w:cs="Arial" w:eastAsia="Arial" w:hAnsi="Arial"/>
          <w:sz w:val="19"/>
          <w:szCs w:val="19"/>
          <w:b w:val="1"/>
          <w:bCs w:val="1"/>
          <w:color w:val="auto"/>
        </w:rPr>
        <w:t>Summary</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In 2007, we took the following actions with regard to compensation for our named executive officers:</w:t>
      </w:r>
    </w:p>
    <w:p>
      <w:pPr>
        <w:spacing w:after="0" w:line="173" w:lineRule="exact"/>
        <w:rPr>
          <w:sz w:val="20"/>
          <w:szCs w:val="20"/>
          <w:color w:val="auto"/>
        </w:rPr>
      </w:pPr>
    </w:p>
    <w:p>
      <w:pPr>
        <w:ind w:left="540" w:right="480" w:hanging="158"/>
        <w:spacing w:after="0" w:line="283"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We increased the annual base salaries of two of the named executive officers (Mr. Mina and Mr. McHugh) by $25,000 each. The base salaries of the other named executive officers remained unchanged from 2006.</w:t>
      </w:r>
    </w:p>
    <w:p>
      <w:pPr>
        <w:spacing w:after="0" w:line="65" w:lineRule="exact"/>
        <w:rPr>
          <w:rFonts w:ascii="Arial" w:cs="Arial" w:eastAsia="Arial" w:hAnsi="Arial"/>
          <w:sz w:val="19"/>
          <w:szCs w:val="19"/>
          <w:color w:val="auto"/>
        </w:rPr>
      </w:pPr>
    </w:p>
    <w:p>
      <w:pPr>
        <w:ind w:left="540" w:right="340" w:hanging="158"/>
        <w:spacing w:after="0" w:line="267"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As the Company did not achieve the performance targets for 2007 established by the Compensation and Management Resources Committee (“Compensation Committee”) under the Annual Incentive Compensation Plan, we did not pay annual bonuses to any of our named executive officers.</w:t>
      </w:r>
    </w:p>
    <w:p>
      <w:pPr>
        <w:spacing w:after="0" w:line="81" w:lineRule="exact"/>
        <w:rPr>
          <w:rFonts w:ascii="Arial" w:cs="Arial" w:eastAsia="Arial" w:hAnsi="Arial"/>
          <w:sz w:val="19"/>
          <w:szCs w:val="19"/>
          <w:color w:val="auto"/>
        </w:rPr>
      </w:pPr>
    </w:p>
    <w:p>
      <w:pPr>
        <w:ind w:left="540" w:right="400" w:hanging="158"/>
        <w:spacing w:after="0" w:line="267"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As the Company did not achieve the performance targets established by the Compensation Committee in 2005 under the Long-Term Incentive Compensation Plan for the 2005-2007 performance period, we did not pay long-term bonuses to any of our named executive officers.</w:t>
      </w:r>
    </w:p>
    <w:p>
      <w:pPr>
        <w:spacing w:after="0" w:line="81" w:lineRule="exact"/>
        <w:rPr>
          <w:rFonts w:ascii="Arial" w:cs="Arial" w:eastAsia="Arial" w:hAnsi="Arial"/>
          <w:sz w:val="19"/>
          <w:szCs w:val="19"/>
          <w:color w:val="auto"/>
        </w:rPr>
      </w:pPr>
    </w:p>
    <w:p>
      <w:pPr>
        <w:ind w:left="540" w:right="100" w:hanging="158"/>
        <w:spacing w:after="0" w:line="267"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For 2007, we increased the target pay-out under the annual bonus plan for all of the named executive officers other than the Chief Executive Officer from 50 percent to 75 percent of base salary. The Chief Executive Officer’s target pay-out remained 125 percent of base salary.</w:t>
      </w:r>
    </w:p>
    <w:p>
      <w:pPr>
        <w:spacing w:after="0" w:line="81" w:lineRule="exact"/>
        <w:rPr>
          <w:rFonts w:ascii="Arial" w:cs="Arial" w:eastAsia="Arial" w:hAnsi="Arial"/>
          <w:sz w:val="19"/>
          <w:szCs w:val="19"/>
          <w:color w:val="auto"/>
        </w:rPr>
      </w:pPr>
    </w:p>
    <w:p>
      <w:pPr>
        <w:ind w:left="540" w:hanging="158"/>
        <w:spacing w:after="0" w:line="262"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We made stock option awards to each of the named executive officers—48,500 shares to the Chief Executive Officer; 30,000 shares to each of the President—U.S.A. and the President—International; and 20,000 shares to each of the two senior vice presidents. These options were priced at fair market value on the date of grant ($23.42 per share) and vest in three equal installments on the first, second, and third anniversary of the grant date.</w:t>
      </w:r>
    </w:p>
    <w:p>
      <w:pPr>
        <w:spacing w:after="0" w:line="85" w:lineRule="exact"/>
        <w:rPr>
          <w:rFonts w:ascii="Arial" w:cs="Arial" w:eastAsia="Arial" w:hAnsi="Arial"/>
          <w:sz w:val="19"/>
          <w:szCs w:val="19"/>
          <w:color w:val="auto"/>
        </w:rPr>
      </w:pPr>
    </w:p>
    <w:p>
      <w:pPr>
        <w:ind w:left="540" w:hanging="158"/>
        <w:spacing w:after="0" w:line="258"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We made restricted stock awards to each of the named executive officers—100,000 shares to the Chief Executive Officer; 40,000 shares to the President—U.S.A. and 20,000 shares to the President—International (who had received a restricted stock grant in late 2006 at the time of his promotion to that position); and 40,000 shares to each of the senior vice presidents. With regard to all of the named executive officers other than Mr. Serra, the restrictions on these shares lapse if the executive continues to be employed by us for three years from the date of grant. The restrictions on Mr. Serra’s shares lapse on January 30, 2010, the final day of the term of his current employment contract, provided he continues to be employed by us on that date.</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Objectives of our compensation program</w:t>
      </w:r>
    </w:p>
    <w:p>
      <w:pPr>
        <w:spacing w:after="0" w:line="125" w:lineRule="exact"/>
        <w:rPr>
          <w:sz w:val="20"/>
          <w:szCs w:val="20"/>
          <w:color w:val="auto"/>
        </w:rPr>
      </w:pPr>
    </w:p>
    <w:p>
      <w:pPr>
        <w:ind w:right="300" w:firstLine="357"/>
        <w:spacing w:after="0" w:line="267" w:lineRule="auto"/>
        <w:rPr>
          <w:sz w:val="20"/>
          <w:szCs w:val="20"/>
          <w:color w:val="auto"/>
        </w:rPr>
      </w:pPr>
      <w:r>
        <w:rPr>
          <w:rFonts w:ascii="Arial" w:cs="Arial" w:eastAsia="Arial" w:hAnsi="Arial"/>
          <w:sz w:val="19"/>
          <w:szCs w:val="19"/>
          <w:color w:val="auto"/>
        </w:rPr>
        <w:t>The objectives of our compensation program are to attract, motivate, and retain talented retail industry executives in order to maintain and enhance the Company’s performance and its return to shareholders. The Compensation Committee, currently composed of four independent directors, oversees the compensation program.</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What is our compensation program designed to reward and not reward?</w:t>
      </w:r>
    </w:p>
    <w:p>
      <w:pPr>
        <w:spacing w:after="0" w:line="125" w:lineRule="exact"/>
        <w:rPr>
          <w:sz w:val="20"/>
          <w:szCs w:val="20"/>
          <w:color w:val="auto"/>
        </w:rPr>
      </w:pPr>
    </w:p>
    <w:p>
      <w:pPr>
        <w:ind w:right="200" w:firstLine="357"/>
        <w:spacing w:after="0" w:line="262" w:lineRule="auto"/>
        <w:rPr>
          <w:sz w:val="20"/>
          <w:szCs w:val="20"/>
          <w:color w:val="auto"/>
        </w:rPr>
      </w:pPr>
      <w:r>
        <w:rPr>
          <w:rFonts w:ascii="Arial" w:cs="Arial" w:eastAsia="Arial" w:hAnsi="Arial"/>
          <w:sz w:val="19"/>
          <w:szCs w:val="19"/>
          <w:color w:val="auto"/>
        </w:rPr>
        <w:t>We have designed our compensation program to align the financial interests of our executives, including the named executive officers, with those of our shareholders. For that reason, it is designed to reward the overall effort and contribution of our executives as measured by the Company’s performance in relation to targets established by the Compensation Committee, more than individual performance. Key concepts underlying our program are:</w:t>
      </w:r>
    </w:p>
    <w:p>
      <w:pPr>
        <w:spacing w:after="0" w:line="126" w:lineRule="exact"/>
        <w:rPr>
          <w:sz w:val="20"/>
          <w:szCs w:val="20"/>
          <w:color w:val="auto"/>
        </w:rPr>
      </w:pPr>
    </w:p>
    <w:p>
      <w:pPr>
        <w:ind w:left="540" w:right="1080" w:hanging="158"/>
        <w:spacing w:after="0" w:line="283"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Executive compensation should be balanced between annual and long-term compensation and between cash and equity-based compensation (stock options and restricted stock).</w:t>
      </w:r>
    </w:p>
    <w:p>
      <w:pPr>
        <w:spacing w:after="0" w:line="65" w:lineRule="exact"/>
        <w:rPr>
          <w:rFonts w:ascii="Arial" w:cs="Arial" w:eastAsia="Arial" w:hAnsi="Arial"/>
          <w:sz w:val="19"/>
          <w:szCs w:val="19"/>
          <w:color w:val="auto"/>
        </w:rPr>
      </w:pPr>
    </w:p>
    <w:p>
      <w:pPr>
        <w:ind w:left="540" w:right="160" w:hanging="158"/>
        <w:spacing w:after="0" w:line="312"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compensation program should reward both efforts to increase the Company’s share price and the achievement of performance factors that contribute to the Company’s long-term health and growth (even if not immediately translated into increases in share price).</w:t>
      </w:r>
    </w:p>
    <w:p>
      <w:pPr>
        <w:spacing w:after="0" w:line="42" w:lineRule="exact"/>
        <w:rPr>
          <w:rFonts w:ascii="Arial" w:cs="Arial" w:eastAsia="Arial" w:hAnsi="Arial"/>
          <w:sz w:val="18"/>
          <w:szCs w:val="18"/>
          <w:color w:val="auto"/>
        </w:rPr>
      </w:pPr>
    </w:p>
    <w:p>
      <w:pPr>
        <w:ind w:left="540" w:hanging="158"/>
        <w:spacing w:after="0" w:line="283" w:lineRule="auto"/>
        <w:tabs>
          <w:tab w:leader="none" w:pos="5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substantial portion of the compensation of our executives, whether paid out currently or on a long-term basis, should be dependent on the Company’s performance or the performance of its stock.</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0" w:right="279" w:bottom="1440" w:gutter="0" w:footer="0" w:header="0"/>
        </w:sectPr>
      </w:pPr>
    </w:p>
    <w:bookmarkStart w:id="24" w:name="page25"/>
    <w:bookmarkEnd w:id="24"/>
    <w:p>
      <w:pPr>
        <w:ind w:left="540" w:right="40" w:hanging="158"/>
        <w:spacing w:after="0" w:line="283" w:lineRule="auto"/>
        <w:tabs>
          <w:tab w:leader="none" w:pos="5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More-senior executives should have a greater portion of their compensation at risk, whether through performance-based bonus programs or through stock price appreciation.</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Elements of compensation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elements of compensation for the named executive officers are:</w:t>
      </w:r>
    </w:p>
    <w:p>
      <w:pPr>
        <w:spacing w:after="0" w:line="173" w:lineRule="exact"/>
        <w:rPr>
          <w:sz w:val="20"/>
          <w:szCs w:val="20"/>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base salary</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performance-based annual cash bonus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performance-based long-term bonus, payable in cash or stock</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long-term equity-based compensation consisting of stock options and restricted stock</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retirement and other benefits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perquisites</w:t>
      </w:r>
    </w:p>
    <w:p>
      <w:pPr>
        <w:spacing w:after="0" w:line="289" w:lineRule="exact"/>
        <w:rPr>
          <w:sz w:val="20"/>
          <w:szCs w:val="20"/>
          <w:color w:val="auto"/>
        </w:rPr>
      </w:pPr>
    </w:p>
    <w:p>
      <w:pPr>
        <w:ind w:right="320"/>
        <w:spacing w:after="0" w:line="289" w:lineRule="auto"/>
        <w:rPr>
          <w:sz w:val="20"/>
          <w:szCs w:val="20"/>
          <w:color w:val="auto"/>
        </w:rPr>
      </w:pPr>
      <w:r>
        <w:rPr>
          <w:rFonts w:ascii="Arial" w:cs="Arial" w:eastAsia="Arial" w:hAnsi="Arial"/>
          <w:sz w:val="19"/>
          <w:szCs w:val="19"/>
          <w:b w:val="1"/>
          <w:bCs w:val="1"/>
          <w:color w:val="auto"/>
        </w:rPr>
        <w:t>Why do we pay each element of compensation and how do we determine the amount for each element of compensation, or the formula that determines the amount?</w:t>
      </w:r>
    </w:p>
    <w:p>
      <w:pPr>
        <w:spacing w:after="0" w:line="47"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We establish benchmarks for base salary and total compensation for each named executive officer based upon a study conducted by Mercer, a nationally recognized compensation consultant that, for executive compensation purposes, reports directly to our Compensation Committee. These benchmarks are based upon compensation for comparable positions at national retail companies with annual sales of $1 billion to $10 billion. The Compensation Committee, with the advice of Mercer, has determined that these companies are the appropriate peer group for executive compensation purposes based upon the nature of their business, their revenues, and the pool from which they recruit their executives. The 20 companies included in the study that the Compensation Committee reviewed in setting 2007 compensation for the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50430" cy="2053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0535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40"/>
        <w:spacing w:after="0"/>
        <w:tabs>
          <w:tab w:leader="none" w:pos="5740" w:val="left"/>
        </w:tabs>
        <w:rPr>
          <w:sz w:val="20"/>
          <w:szCs w:val="20"/>
          <w:color w:val="auto"/>
        </w:rPr>
      </w:pPr>
      <w:r>
        <w:rPr>
          <w:rFonts w:ascii="Arial" w:cs="Arial" w:eastAsia="Arial" w:hAnsi="Arial"/>
          <w:sz w:val="19"/>
          <w:szCs w:val="19"/>
          <w:color w:val="auto"/>
        </w:rPr>
        <w:t>Abercrombie &amp; Fitch</w:t>
      </w:r>
      <w:r>
        <w:rPr>
          <w:sz w:val="20"/>
          <w:szCs w:val="20"/>
          <w:color w:val="auto"/>
        </w:rPr>
        <w:tab/>
      </w:r>
      <w:r>
        <w:rPr>
          <w:rFonts w:ascii="Arial" w:cs="Arial" w:eastAsia="Arial" w:hAnsi="Arial"/>
          <w:sz w:val="17"/>
          <w:szCs w:val="17"/>
          <w:color w:val="auto"/>
        </w:rPr>
        <w:t>American Eagle Outfitters Inc.</w:t>
      </w:r>
    </w:p>
    <w:p>
      <w:pPr>
        <w:spacing w:after="0" w:line="52" w:lineRule="exact"/>
        <w:rPr>
          <w:sz w:val="20"/>
          <w:szCs w:val="20"/>
          <w:color w:val="auto"/>
        </w:rPr>
      </w:pPr>
    </w:p>
    <w:p>
      <w:pPr>
        <w:ind w:left="640"/>
        <w:spacing w:after="0"/>
        <w:tabs>
          <w:tab w:leader="none" w:pos="5740" w:val="left"/>
        </w:tabs>
        <w:rPr>
          <w:sz w:val="20"/>
          <w:szCs w:val="20"/>
          <w:color w:val="auto"/>
        </w:rPr>
      </w:pPr>
      <w:r>
        <w:rPr>
          <w:rFonts w:ascii="Arial" w:cs="Arial" w:eastAsia="Arial" w:hAnsi="Arial"/>
          <w:sz w:val="19"/>
          <w:szCs w:val="19"/>
          <w:color w:val="auto"/>
        </w:rPr>
        <w:t>AnnTaylor Stores Corp.</w:t>
      </w:r>
      <w:r>
        <w:rPr>
          <w:sz w:val="20"/>
          <w:szCs w:val="20"/>
          <w:color w:val="auto"/>
        </w:rPr>
        <w:tab/>
      </w:r>
      <w:r>
        <w:rPr>
          <w:rFonts w:ascii="Arial" w:cs="Arial" w:eastAsia="Arial" w:hAnsi="Arial"/>
          <w:sz w:val="17"/>
          <w:szCs w:val="17"/>
          <w:color w:val="auto"/>
        </w:rPr>
        <w:t>Borders Group Inc.</w:t>
      </w:r>
    </w:p>
    <w:p>
      <w:pPr>
        <w:spacing w:after="0" w:line="52" w:lineRule="exact"/>
        <w:rPr>
          <w:sz w:val="20"/>
          <w:szCs w:val="20"/>
          <w:color w:val="auto"/>
        </w:rPr>
      </w:pPr>
    </w:p>
    <w:p>
      <w:pPr>
        <w:ind w:left="640"/>
        <w:spacing w:after="0"/>
        <w:tabs>
          <w:tab w:leader="none" w:pos="5740" w:val="left"/>
        </w:tabs>
        <w:rPr>
          <w:sz w:val="20"/>
          <w:szCs w:val="20"/>
          <w:color w:val="auto"/>
        </w:rPr>
      </w:pPr>
      <w:r>
        <w:rPr>
          <w:rFonts w:ascii="Arial" w:cs="Arial" w:eastAsia="Arial" w:hAnsi="Arial"/>
          <w:sz w:val="19"/>
          <w:szCs w:val="19"/>
          <w:color w:val="auto"/>
        </w:rPr>
        <w:t>Brown Shoe Company, Inc.</w:t>
      </w:r>
      <w:r>
        <w:rPr>
          <w:sz w:val="20"/>
          <w:szCs w:val="20"/>
          <w:color w:val="auto"/>
        </w:rPr>
        <w:tab/>
      </w:r>
      <w:r>
        <w:rPr>
          <w:rFonts w:ascii="Arial" w:cs="Arial" w:eastAsia="Arial" w:hAnsi="Arial"/>
          <w:sz w:val="17"/>
          <w:szCs w:val="17"/>
          <w:color w:val="auto"/>
        </w:rPr>
        <w:t>Charming Shoppes</w:t>
      </w:r>
    </w:p>
    <w:p>
      <w:pPr>
        <w:spacing w:after="0" w:line="52" w:lineRule="exact"/>
        <w:rPr>
          <w:sz w:val="20"/>
          <w:szCs w:val="20"/>
          <w:color w:val="auto"/>
        </w:rPr>
      </w:pPr>
    </w:p>
    <w:p>
      <w:pPr>
        <w:ind w:left="640"/>
        <w:spacing w:after="0"/>
        <w:tabs>
          <w:tab w:leader="none" w:pos="5740" w:val="left"/>
        </w:tabs>
        <w:rPr>
          <w:sz w:val="20"/>
          <w:szCs w:val="20"/>
          <w:color w:val="auto"/>
        </w:rPr>
      </w:pPr>
      <w:r>
        <w:rPr>
          <w:rFonts w:ascii="Arial" w:cs="Arial" w:eastAsia="Arial" w:hAnsi="Arial"/>
          <w:sz w:val="19"/>
          <w:szCs w:val="19"/>
          <w:color w:val="auto"/>
        </w:rPr>
        <w:t>Claires Stores Inc.</w:t>
      </w:r>
      <w:r>
        <w:rPr>
          <w:sz w:val="20"/>
          <w:szCs w:val="20"/>
          <w:color w:val="auto"/>
        </w:rPr>
        <w:tab/>
      </w:r>
      <w:r>
        <w:rPr>
          <w:rFonts w:ascii="Arial" w:cs="Arial" w:eastAsia="Arial" w:hAnsi="Arial"/>
          <w:sz w:val="18"/>
          <w:szCs w:val="18"/>
          <w:color w:val="auto"/>
        </w:rPr>
        <w:t>Dick’s Sporting Goods Inc</w:t>
      </w:r>
    </w:p>
    <w:p>
      <w:pPr>
        <w:spacing w:after="0" w:line="52" w:lineRule="exact"/>
        <w:rPr>
          <w:sz w:val="20"/>
          <w:szCs w:val="20"/>
          <w:color w:val="auto"/>
        </w:rPr>
      </w:pPr>
    </w:p>
    <w:p>
      <w:pPr>
        <w:ind w:left="640"/>
        <w:spacing w:after="0"/>
        <w:tabs>
          <w:tab w:leader="none" w:pos="5740" w:val="left"/>
        </w:tabs>
        <w:rPr>
          <w:sz w:val="20"/>
          <w:szCs w:val="20"/>
          <w:color w:val="auto"/>
        </w:rPr>
      </w:pPr>
      <w:r>
        <w:rPr>
          <w:rFonts w:ascii="Arial" w:cs="Arial" w:eastAsia="Arial" w:hAnsi="Arial"/>
          <w:sz w:val="19"/>
          <w:szCs w:val="19"/>
          <w:color w:val="auto"/>
        </w:rPr>
        <w:t>Dillards Inc.</w:t>
      </w:r>
      <w:r>
        <w:rPr>
          <w:sz w:val="20"/>
          <w:szCs w:val="20"/>
          <w:color w:val="auto"/>
        </w:rPr>
        <w:tab/>
      </w:r>
      <w:r>
        <w:rPr>
          <w:rFonts w:ascii="Arial" w:cs="Arial" w:eastAsia="Arial" w:hAnsi="Arial"/>
          <w:sz w:val="17"/>
          <w:szCs w:val="17"/>
          <w:color w:val="auto"/>
        </w:rPr>
        <w:t>Dollar General Corp.</w:t>
      </w:r>
    </w:p>
    <w:p>
      <w:pPr>
        <w:spacing w:after="0" w:line="52" w:lineRule="exact"/>
        <w:rPr>
          <w:sz w:val="20"/>
          <w:szCs w:val="20"/>
          <w:color w:val="auto"/>
        </w:rPr>
      </w:pPr>
    </w:p>
    <w:p>
      <w:pPr>
        <w:ind w:left="640"/>
        <w:spacing w:after="0"/>
        <w:tabs>
          <w:tab w:leader="none" w:pos="5740" w:val="left"/>
        </w:tabs>
        <w:rPr>
          <w:sz w:val="20"/>
          <w:szCs w:val="20"/>
          <w:color w:val="auto"/>
        </w:rPr>
      </w:pPr>
      <w:r>
        <w:rPr>
          <w:rFonts w:ascii="Arial" w:cs="Arial" w:eastAsia="Arial" w:hAnsi="Arial"/>
          <w:sz w:val="19"/>
          <w:szCs w:val="19"/>
          <w:color w:val="auto"/>
        </w:rPr>
        <w:t>Family Dollar Stores</w:t>
      </w:r>
      <w:r>
        <w:rPr>
          <w:sz w:val="20"/>
          <w:szCs w:val="20"/>
          <w:color w:val="auto"/>
        </w:rPr>
        <w:tab/>
      </w:r>
      <w:r>
        <w:rPr>
          <w:rFonts w:ascii="Arial" w:cs="Arial" w:eastAsia="Arial" w:hAnsi="Arial"/>
          <w:sz w:val="18"/>
          <w:szCs w:val="18"/>
          <w:color w:val="auto"/>
        </w:rPr>
        <w:t>Finish Line Inc.</w:t>
      </w:r>
    </w:p>
    <w:p>
      <w:pPr>
        <w:spacing w:after="0" w:line="52" w:lineRule="exact"/>
        <w:rPr>
          <w:sz w:val="20"/>
          <w:szCs w:val="20"/>
          <w:color w:val="auto"/>
        </w:rPr>
      </w:pPr>
    </w:p>
    <w:p>
      <w:pPr>
        <w:ind w:left="640"/>
        <w:spacing w:after="0"/>
        <w:tabs>
          <w:tab w:leader="none" w:pos="5740" w:val="left"/>
        </w:tabs>
        <w:rPr>
          <w:sz w:val="20"/>
          <w:szCs w:val="20"/>
          <w:color w:val="auto"/>
        </w:rPr>
      </w:pPr>
      <w:r>
        <w:rPr>
          <w:rFonts w:ascii="Arial" w:cs="Arial" w:eastAsia="Arial" w:hAnsi="Arial"/>
          <w:sz w:val="19"/>
          <w:szCs w:val="19"/>
          <w:color w:val="auto"/>
        </w:rPr>
        <w:t>Genesco Inc.</w:t>
      </w:r>
      <w:r>
        <w:rPr>
          <w:sz w:val="20"/>
          <w:szCs w:val="20"/>
          <w:color w:val="auto"/>
        </w:rPr>
        <w:tab/>
      </w:r>
      <w:r>
        <w:rPr>
          <w:rFonts w:ascii="Arial" w:cs="Arial" w:eastAsia="Arial" w:hAnsi="Arial"/>
          <w:sz w:val="18"/>
          <w:szCs w:val="18"/>
          <w:color w:val="auto"/>
        </w:rPr>
        <w:t>Limited Brands Inc.</w:t>
      </w:r>
    </w:p>
    <w:p>
      <w:pPr>
        <w:spacing w:after="0" w:line="52" w:lineRule="exact"/>
        <w:rPr>
          <w:sz w:val="20"/>
          <w:szCs w:val="20"/>
          <w:color w:val="auto"/>
        </w:rPr>
      </w:pPr>
    </w:p>
    <w:p>
      <w:pPr>
        <w:ind w:left="640"/>
        <w:spacing w:after="0"/>
        <w:tabs>
          <w:tab w:leader="none" w:pos="5740" w:val="left"/>
        </w:tabs>
        <w:rPr>
          <w:sz w:val="20"/>
          <w:szCs w:val="20"/>
          <w:color w:val="auto"/>
        </w:rPr>
      </w:pPr>
      <w:r>
        <w:rPr>
          <w:rFonts w:ascii="Arial" w:cs="Arial" w:eastAsia="Arial" w:hAnsi="Arial"/>
          <w:sz w:val="19"/>
          <w:szCs w:val="19"/>
          <w:color w:val="auto"/>
        </w:rPr>
        <w:t>PayLess ShoeSource Inc.</w:t>
      </w:r>
      <w:r>
        <w:rPr>
          <w:sz w:val="20"/>
          <w:szCs w:val="20"/>
          <w:color w:val="auto"/>
        </w:rPr>
        <w:tab/>
      </w:r>
      <w:r>
        <w:rPr>
          <w:rFonts w:ascii="Arial" w:cs="Arial" w:eastAsia="Arial" w:hAnsi="Arial"/>
          <w:sz w:val="17"/>
          <w:szCs w:val="17"/>
          <w:color w:val="auto"/>
        </w:rPr>
        <w:t>RadioShack Corp.</w:t>
      </w:r>
    </w:p>
    <w:p>
      <w:pPr>
        <w:spacing w:after="0" w:line="52" w:lineRule="exact"/>
        <w:rPr>
          <w:sz w:val="20"/>
          <w:szCs w:val="20"/>
          <w:color w:val="auto"/>
        </w:rPr>
      </w:pPr>
    </w:p>
    <w:p>
      <w:pPr>
        <w:ind w:left="640"/>
        <w:spacing w:after="0"/>
        <w:tabs>
          <w:tab w:leader="none" w:pos="5740" w:val="left"/>
        </w:tabs>
        <w:rPr>
          <w:sz w:val="20"/>
          <w:szCs w:val="20"/>
          <w:color w:val="auto"/>
        </w:rPr>
      </w:pPr>
      <w:r>
        <w:rPr>
          <w:rFonts w:ascii="Arial" w:cs="Arial" w:eastAsia="Arial" w:hAnsi="Arial"/>
          <w:sz w:val="19"/>
          <w:szCs w:val="19"/>
          <w:color w:val="auto"/>
        </w:rPr>
        <w:t>Ross Stores Inc.</w:t>
      </w:r>
      <w:r>
        <w:rPr>
          <w:sz w:val="20"/>
          <w:szCs w:val="20"/>
          <w:color w:val="auto"/>
        </w:rPr>
        <w:tab/>
      </w:r>
      <w:r>
        <w:rPr>
          <w:rFonts w:ascii="Arial" w:cs="Arial" w:eastAsia="Arial" w:hAnsi="Arial"/>
          <w:sz w:val="17"/>
          <w:szCs w:val="17"/>
          <w:color w:val="auto"/>
        </w:rPr>
        <w:t>Saks Inc.</w:t>
      </w:r>
    </w:p>
    <w:p>
      <w:pPr>
        <w:spacing w:after="0" w:line="52" w:lineRule="exact"/>
        <w:rPr>
          <w:sz w:val="20"/>
          <w:szCs w:val="20"/>
          <w:color w:val="auto"/>
        </w:rPr>
      </w:pPr>
    </w:p>
    <w:p>
      <w:pPr>
        <w:ind w:left="640"/>
        <w:spacing w:after="0"/>
        <w:tabs>
          <w:tab w:leader="none" w:pos="5740" w:val="left"/>
        </w:tabs>
        <w:rPr>
          <w:sz w:val="20"/>
          <w:szCs w:val="20"/>
          <w:color w:val="auto"/>
        </w:rPr>
      </w:pPr>
      <w:r>
        <w:rPr>
          <w:rFonts w:ascii="Arial" w:cs="Arial" w:eastAsia="Arial" w:hAnsi="Arial"/>
          <w:sz w:val="19"/>
          <w:szCs w:val="19"/>
          <w:color w:val="auto"/>
        </w:rPr>
        <w:t>Talbots Inc.</w:t>
      </w:r>
      <w:r>
        <w:rPr>
          <w:sz w:val="20"/>
          <w:szCs w:val="20"/>
          <w:color w:val="auto"/>
        </w:rPr>
        <w:tab/>
      </w:r>
      <w:r>
        <w:rPr>
          <w:rFonts w:ascii="Arial" w:cs="Arial" w:eastAsia="Arial" w:hAnsi="Arial"/>
          <w:sz w:val="17"/>
          <w:szCs w:val="17"/>
          <w:color w:val="auto"/>
        </w:rPr>
        <w:t>Timberland Co.</w:t>
      </w:r>
    </w:p>
    <w:p>
      <w:pPr>
        <w:spacing w:after="0" w:line="200" w:lineRule="exact"/>
        <w:rPr>
          <w:sz w:val="20"/>
          <w:szCs w:val="20"/>
          <w:color w:val="auto"/>
        </w:rPr>
      </w:pPr>
    </w:p>
    <w:p>
      <w:pPr>
        <w:spacing w:after="0" w:line="297"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Two companies that were included in the peer group in 2006—Reebok International Limited and Sports Authority Inc.—ceased to be publicly traded companies and were not included in the peer group in 2007. No companies were added to the peer group. The name of PayLess ShoeSource, Inc. has subsequently been changed to Collective Brands, Inc.</w:t>
      </w:r>
    </w:p>
    <w:p>
      <w:pPr>
        <w:spacing w:after="0" w:line="68"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The goal of the Compensation Committee is for the total compensation of each named executive officer to approximate the 75th percentile of comparable peer group compensation if the Company achieves its performance targets, with an opportunity to exceed that for outstanding performance, and with compensation falling closer to the median if the Company does not achieve its performance targets. The Compensation Committee established this goal based upon the Company’s size in relation to the other companies in the peer group and the relative complexity of our business, which includes multiple retail divisions, a direct-to-customer business, and a significant international business with operations in 21 countries.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2" w:right="259" w:bottom="1440" w:gutter="0" w:footer="0" w:header="0"/>
        </w:sectPr>
      </w:pPr>
    </w:p>
    <w:bookmarkStart w:id="25" w:name="page26"/>
    <w:bookmarkEnd w:id="25"/>
    <w:p>
      <w:pPr>
        <w:spacing w:after="0"/>
        <w:rPr>
          <w:sz w:val="20"/>
          <w:szCs w:val="20"/>
          <w:color w:val="auto"/>
        </w:rPr>
      </w:pPr>
      <w:r>
        <w:rPr>
          <w:rFonts w:ascii="Arial" w:cs="Arial" w:eastAsia="Arial" w:hAnsi="Arial"/>
          <w:sz w:val="19"/>
          <w:szCs w:val="19"/>
          <w:b w:val="1"/>
          <w:bCs w:val="1"/>
          <w:i w:val="1"/>
          <w:iCs w:val="1"/>
          <w:color w:val="auto"/>
        </w:rPr>
        <w:t>Base Salaries</w:t>
      </w:r>
    </w:p>
    <w:p>
      <w:pPr>
        <w:spacing w:after="0" w:line="119" w:lineRule="exact"/>
        <w:rPr>
          <w:sz w:val="20"/>
          <w:szCs w:val="20"/>
          <w:color w:val="auto"/>
        </w:rPr>
      </w:pPr>
    </w:p>
    <w:p>
      <w:pPr>
        <w:ind w:right="300" w:firstLine="357"/>
        <w:spacing w:after="0" w:line="294" w:lineRule="auto"/>
        <w:rPr>
          <w:sz w:val="20"/>
          <w:szCs w:val="20"/>
          <w:color w:val="auto"/>
        </w:rPr>
      </w:pPr>
      <w:r>
        <w:rPr>
          <w:rFonts w:ascii="Arial" w:cs="Arial" w:eastAsia="Arial" w:hAnsi="Arial"/>
          <w:sz w:val="17"/>
          <w:szCs w:val="17"/>
          <w:color w:val="auto"/>
        </w:rPr>
        <w:t>We pay base salaries to provide our named executive officers with current, regular compensation that is appropriate to their position, experience, and responsibilities. We benchmark base salaries for each named executive officer, other than the Chief Executive Officer, at approximately the 75th percentile of the peer companies included in the annual Mercer study, and the base salaries of the named executive officers, other than the Chief Executive Officer, approximate this benchmark. The Compensation Committee has benchmarked the Chief Executive Officer’s base salary at the 90th percentile of the peer companies in light of his experience, length of service, and other opportunities that are available to him in the retail sector. We pay higher base salaries to those named executive officers with greater overall responsibility.</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Performance-Based Annual Cash Bonus</w:t>
      </w:r>
    </w:p>
    <w:p>
      <w:pPr>
        <w:spacing w:after="0" w:line="119" w:lineRule="exact"/>
        <w:rPr>
          <w:sz w:val="20"/>
          <w:szCs w:val="20"/>
          <w:color w:val="auto"/>
        </w:rPr>
      </w:pPr>
    </w:p>
    <w:p>
      <w:pPr>
        <w:jc w:val="both"/>
        <w:ind w:right="220" w:firstLine="357"/>
        <w:spacing w:after="0" w:line="267" w:lineRule="auto"/>
        <w:rPr>
          <w:sz w:val="20"/>
          <w:szCs w:val="20"/>
          <w:color w:val="auto"/>
        </w:rPr>
      </w:pPr>
      <w:r>
        <w:rPr>
          <w:rFonts w:ascii="Arial" w:cs="Arial" w:eastAsia="Arial" w:hAnsi="Arial"/>
          <w:sz w:val="19"/>
          <w:szCs w:val="19"/>
          <w:color w:val="auto"/>
        </w:rPr>
        <w:t>We pay performance-based annual cash bonuses to our named executive officers under the Annual Incentive Compensation Plan (“Annual Bonus Plan”) in order to provide incentive for them to work toward the Company’s achievement of annual performance goals established by the Compensation Committee.</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Target payments under the Annual Bonus Plan for named executive officers were set for 2007 as follows: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539"/>
        </w:trPr>
        <w:tc>
          <w:tcPr>
            <w:tcW w:w="4680" w:type="dxa"/>
            <w:vAlign w:val="bottom"/>
            <w:tcBorders>
              <w:top w:val="single" w:sz="8" w:color="auto"/>
              <w:left w:val="single" w:sz="8" w:color="auto"/>
            </w:tcBorders>
          </w:tcPr>
          <w:p>
            <w:pPr>
              <w:spacing w:after="0"/>
              <w:rPr>
                <w:sz w:val="24"/>
                <w:szCs w:val="24"/>
                <w:color w:val="auto"/>
              </w:rPr>
            </w:pPr>
          </w:p>
        </w:tc>
        <w:tc>
          <w:tcPr>
            <w:tcW w:w="238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6"/>
                <w:szCs w:val="16"/>
                <w:b w:val="1"/>
                <w:bCs w:val="1"/>
                <w:color w:val="auto"/>
              </w:rPr>
              <w:t>Target</w:t>
            </w:r>
          </w:p>
        </w:tc>
        <w:tc>
          <w:tcPr>
            <w:tcW w:w="300" w:type="dxa"/>
            <w:vAlign w:val="bottom"/>
            <w:tcBorders>
              <w:top w:val="single" w:sz="8" w:color="auto"/>
            </w:tcBorders>
          </w:tcPr>
          <w:p>
            <w:pPr>
              <w:spacing w:after="0"/>
              <w:rPr>
                <w:sz w:val="24"/>
                <w:szCs w:val="24"/>
                <w:color w:val="auto"/>
              </w:rPr>
            </w:pPr>
          </w:p>
        </w:tc>
        <w:tc>
          <w:tcPr>
            <w:tcW w:w="398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6"/>
                <w:szCs w:val="16"/>
                <w:b w:val="1"/>
                <w:bCs w:val="1"/>
                <w:color w:val="auto"/>
              </w:rPr>
              <w:t>Annual Bonus Range</w:t>
            </w:r>
          </w:p>
        </w:tc>
        <w:tc>
          <w:tcPr>
            <w:tcW w:w="80" w:type="dxa"/>
            <w:vAlign w:val="bottom"/>
            <w:tcBorders>
              <w:top w:val="single" w:sz="8" w:color="auto"/>
              <w:right w:val="single" w:sz="8" w:color="auto"/>
            </w:tcBorders>
          </w:tcPr>
          <w:p>
            <w:pPr>
              <w:spacing w:after="0"/>
              <w:rPr>
                <w:sz w:val="24"/>
                <w:szCs w:val="24"/>
                <w:color w:val="auto"/>
              </w:rPr>
            </w:pPr>
          </w:p>
        </w:tc>
      </w:tr>
      <w:tr>
        <w:trPr>
          <w:trHeight w:val="258"/>
        </w:trPr>
        <w:tc>
          <w:tcPr>
            <w:tcW w:w="4680" w:type="dxa"/>
            <w:vAlign w:val="bottom"/>
            <w:tcBorders>
              <w:left w:val="single" w:sz="8" w:color="auto"/>
            </w:tcBorders>
          </w:tcPr>
          <w:p>
            <w:pPr>
              <w:ind w:left="100"/>
              <w:spacing w:after="0"/>
              <w:rPr>
                <w:sz w:val="20"/>
                <w:szCs w:val="20"/>
                <w:color w:val="auto"/>
              </w:rPr>
            </w:pPr>
            <w:r>
              <w:rPr>
                <w:rFonts w:ascii="Arial" w:cs="Arial" w:eastAsia="Arial" w:hAnsi="Arial"/>
                <w:sz w:val="19"/>
                <w:szCs w:val="19"/>
                <w:color w:val="auto"/>
              </w:rPr>
              <w:t>Chief Executive Officer</w:t>
            </w:r>
          </w:p>
        </w:tc>
        <w:tc>
          <w:tcPr>
            <w:tcW w:w="2380" w:type="dxa"/>
            <w:vAlign w:val="bottom"/>
          </w:tcPr>
          <w:p>
            <w:pPr>
              <w:ind w:left="20"/>
              <w:spacing w:after="0"/>
              <w:rPr>
                <w:sz w:val="20"/>
                <w:szCs w:val="20"/>
                <w:color w:val="auto"/>
              </w:rPr>
            </w:pPr>
            <w:r>
              <w:rPr>
                <w:rFonts w:ascii="Arial" w:cs="Arial" w:eastAsia="Arial" w:hAnsi="Arial"/>
                <w:sz w:val="19"/>
                <w:szCs w:val="19"/>
                <w:color w:val="auto"/>
              </w:rPr>
              <w:t>125% of Base Salary</w:t>
            </w:r>
          </w:p>
        </w:tc>
        <w:tc>
          <w:tcPr>
            <w:tcW w:w="300" w:type="dxa"/>
            <w:vAlign w:val="bottom"/>
          </w:tcPr>
          <w:p>
            <w:pPr>
              <w:spacing w:after="0"/>
              <w:rPr>
                <w:sz w:val="22"/>
                <w:szCs w:val="22"/>
                <w:color w:val="auto"/>
              </w:rPr>
            </w:pPr>
          </w:p>
        </w:tc>
        <w:tc>
          <w:tcPr>
            <w:tcW w:w="406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31.25 % to 200% of Base Salary</w:t>
            </w:r>
          </w:p>
        </w:tc>
      </w:tr>
      <w:tr>
        <w:trPr>
          <w:trHeight w:val="270"/>
        </w:trPr>
        <w:tc>
          <w:tcPr>
            <w:tcW w:w="4680" w:type="dxa"/>
            <w:vAlign w:val="bottom"/>
            <w:tcBorders>
              <w:left w:val="single" w:sz="8" w:color="auto"/>
            </w:tcBorders>
          </w:tcPr>
          <w:p>
            <w:pPr>
              <w:ind w:left="100"/>
              <w:spacing w:after="0"/>
              <w:rPr>
                <w:sz w:val="20"/>
                <w:szCs w:val="20"/>
                <w:color w:val="auto"/>
              </w:rPr>
            </w:pPr>
            <w:r>
              <w:rPr>
                <w:rFonts w:ascii="Arial" w:cs="Arial" w:eastAsia="Arial" w:hAnsi="Arial"/>
                <w:sz w:val="19"/>
                <w:szCs w:val="19"/>
                <w:color w:val="auto"/>
              </w:rPr>
              <w:t>Other Named Executive Officers</w:t>
            </w:r>
          </w:p>
        </w:tc>
        <w:tc>
          <w:tcPr>
            <w:tcW w:w="2380" w:type="dxa"/>
            <w:vAlign w:val="bottom"/>
          </w:tcPr>
          <w:p>
            <w:pPr>
              <w:ind w:left="20"/>
              <w:spacing w:after="0"/>
              <w:rPr>
                <w:sz w:val="20"/>
                <w:szCs w:val="20"/>
                <w:color w:val="auto"/>
              </w:rPr>
            </w:pPr>
            <w:r>
              <w:rPr>
                <w:rFonts w:ascii="Arial" w:cs="Arial" w:eastAsia="Arial" w:hAnsi="Arial"/>
                <w:sz w:val="19"/>
                <w:szCs w:val="19"/>
                <w:color w:val="auto"/>
              </w:rPr>
              <w:t>75% of Base Salary</w:t>
            </w:r>
          </w:p>
        </w:tc>
        <w:tc>
          <w:tcPr>
            <w:tcW w:w="300" w:type="dxa"/>
            <w:vAlign w:val="bottom"/>
          </w:tcPr>
          <w:p>
            <w:pPr>
              <w:spacing w:after="0"/>
              <w:rPr>
                <w:sz w:val="23"/>
                <w:szCs w:val="23"/>
                <w:color w:val="auto"/>
              </w:rPr>
            </w:pPr>
          </w:p>
        </w:tc>
        <w:tc>
          <w:tcPr>
            <w:tcW w:w="4060" w:type="dxa"/>
            <w:vAlign w:val="bottom"/>
            <w:tcBorders>
              <w:right w:val="single" w:sz="8" w:color="auto"/>
            </w:tcBorders>
            <w:gridSpan w:val="2"/>
          </w:tcPr>
          <w:p>
            <w:pPr>
              <w:spacing w:after="0"/>
              <w:rPr>
                <w:sz w:val="20"/>
                <w:szCs w:val="20"/>
                <w:color w:val="auto"/>
              </w:rPr>
            </w:pPr>
            <w:r>
              <w:rPr>
                <w:rFonts w:ascii="Arial" w:cs="Arial" w:eastAsia="Arial" w:hAnsi="Arial"/>
                <w:sz w:val="19"/>
                <w:szCs w:val="19"/>
                <w:color w:val="auto"/>
              </w:rPr>
              <w:t>18.75% to 131.25% of Base Salary</w:t>
            </w:r>
          </w:p>
        </w:tc>
      </w:tr>
      <w:tr>
        <w:trPr>
          <w:trHeight w:val="263"/>
        </w:trPr>
        <w:tc>
          <w:tcPr>
            <w:tcW w:w="4680" w:type="dxa"/>
            <w:vAlign w:val="bottom"/>
            <w:tcBorders>
              <w:left w:val="single" w:sz="8" w:color="auto"/>
              <w:bottom w:val="single" w:sz="8" w:color="auto"/>
            </w:tcBorders>
          </w:tcPr>
          <w:p>
            <w:pPr>
              <w:spacing w:after="0"/>
              <w:rPr>
                <w:sz w:val="22"/>
                <w:szCs w:val="22"/>
                <w:color w:val="auto"/>
              </w:rPr>
            </w:pPr>
          </w:p>
        </w:tc>
        <w:tc>
          <w:tcPr>
            <w:tcW w:w="23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98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2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If the Company does not achieve threshold performance, as was the case in 2007, then no annual bonus is paid. Executives who do not receive a “meets expectations” rating or higher in their annual performance review are normally ineligible to receive an annual bonus payment for that year.</w:t>
      </w:r>
    </w:p>
    <w:p>
      <w:pPr>
        <w:spacing w:after="0" w:line="68"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In 2007, the Compensation Committee increased the target payment under the Annual Bonus Plan for the named executive officers other than the Chief Executive Officer to 75 percent of base salary from 50 percent after having reviewed the likely status of pay-outs under the Company’s incentive plans, including the Long-Term Plan, for 2007 and considering the need to provide appropriate financial incentive to the Company’s senior executive group. This also resulted in an increase in both threshold and maximum payment levels for this group. The Chief Executive Officer’s payment levels were unchanged from the prior year. The Compensation Committee expects to review the appropriate target payment under the Annual Bonus Plan each year.</w:t>
      </w:r>
    </w:p>
    <w:p>
      <w:pPr>
        <w:spacing w:after="0" w:line="76"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Our Annual Bonus Plan allows the Compensation Committee, in establishing performance targets under the plan, to choose one or more performance measures from a list of nine factors that have been approved by our shareholders. For 2007, for the named executive officers other than Mr. Halls, the Compensation Committee established a performance target under the Annual Bonus Plan based upon the Company’s achievement of prescribed levels of pre-tax income and return-on-invested-capital. Seventy percent of a participant’s award is based upon the pre-tax income target and 30 percent on the return-on-invested-capital target. All bonus targets and calculations are based on pre-tax income from continuing operations. The Annual Bonus Plan targets for 2007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0430" cy="870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87058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578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Threshold</w:t>
            </w:r>
          </w:p>
        </w:tc>
        <w:tc>
          <w:tcPr>
            <w:tcW w:w="3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Target</w:t>
            </w:r>
          </w:p>
        </w:tc>
        <w:tc>
          <w:tcPr>
            <w:tcW w:w="32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r>
      <w:tr>
        <w:trPr>
          <w:trHeight w:val="268"/>
        </w:trPr>
        <w:tc>
          <w:tcPr>
            <w:tcW w:w="5780" w:type="dxa"/>
            <w:vAlign w:val="bottom"/>
            <w:shd w:val="clear" w:color="auto" w:fill="E5FFFF"/>
          </w:tcPr>
          <w:p>
            <w:pPr>
              <w:ind w:left="20"/>
              <w:spacing w:after="0"/>
              <w:rPr>
                <w:sz w:val="20"/>
                <w:szCs w:val="20"/>
                <w:color w:val="auto"/>
              </w:rPr>
            </w:pPr>
            <w:r>
              <w:rPr>
                <w:rFonts w:ascii="Arial" w:cs="Arial" w:eastAsia="Arial" w:hAnsi="Arial"/>
                <w:sz w:val="19"/>
                <w:szCs w:val="19"/>
                <w:color w:val="auto"/>
              </w:rPr>
              <w:t>Pre-tax income</w:t>
            </w:r>
          </w:p>
        </w:tc>
        <w:tc>
          <w:tcPr>
            <w:tcW w:w="168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7"/>
              </w:rPr>
              <w:t>$359.1 million</w:t>
            </w:r>
          </w:p>
        </w:tc>
        <w:tc>
          <w:tcPr>
            <w:tcW w:w="320" w:type="dxa"/>
            <w:vAlign w:val="bottom"/>
            <w:shd w:val="clear" w:color="auto" w:fill="E5FFFF"/>
          </w:tcPr>
          <w:p>
            <w:pPr>
              <w:spacing w:after="0"/>
              <w:rPr>
                <w:sz w:val="23"/>
                <w:szCs w:val="23"/>
                <w:color w:val="auto"/>
              </w:rPr>
            </w:pPr>
          </w:p>
        </w:tc>
        <w:tc>
          <w:tcPr>
            <w:tcW w:w="146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6"/>
              </w:rPr>
              <w:t>$399 million</w:t>
            </w:r>
          </w:p>
        </w:tc>
        <w:tc>
          <w:tcPr>
            <w:tcW w:w="320" w:type="dxa"/>
            <w:vAlign w:val="bottom"/>
            <w:shd w:val="clear" w:color="auto" w:fill="E5FFFF"/>
          </w:tcPr>
          <w:p>
            <w:pPr>
              <w:spacing w:after="0"/>
              <w:rPr>
                <w:sz w:val="23"/>
                <w:szCs w:val="23"/>
                <w:color w:val="auto"/>
              </w:rPr>
            </w:pPr>
          </w:p>
        </w:tc>
        <w:tc>
          <w:tcPr>
            <w:tcW w:w="1700" w:type="dxa"/>
            <w:vAlign w:val="bottom"/>
            <w:shd w:val="clear" w:color="auto" w:fill="E5FFFF"/>
          </w:tcPr>
          <w:p>
            <w:pPr>
              <w:jc w:val="center"/>
              <w:spacing w:after="0"/>
              <w:rPr>
                <w:sz w:val="20"/>
                <w:szCs w:val="20"/>
                <w:color w:val="auto"/>
              </w:rPr>
            </w:pPr>
            <w:r>
              <w:rPr>
                <w:rFonts w:ascii="Arial" w:cs="Arial" w:eastAsia="Arial" w:hAnsi="Arial"/>
                <w:sz w:val="19"/>
                <w:szCs w:val="19"/>
                <w:color w:val="auto"/>
                <w:w w:val="97"/>
              </w:rPr>
              <w:t>$478.8 million</w:t>
            </w:r>
          </w:p>
        </w:tc>
      </w:tr>
      <w:tr>
        <w:trPr>
          <w:trHeight w:val="261"/>
        </w:trPr>
        <w:tc>
          <w:tcPr>
            <w:tcW w:w="5780" w:type="dxa"/>
            <w:vAlign w:val="bottom"/>
          </w:tcPr>
          <w:p>
            <w:pPr>
              <w:ind w:left="20"/>
              <w:spacing w:after="0"/>
              <w:rPr>
                <w:sz w:val="20"/>
                <w:szCs w:val="20"/>
                <w:color w:val="auto"/>
              </w:rPr>
            </w:pPr>
            <w:r>
              <w:rPr>
                <w:rFonts w:ascii="Arial" w:cs="Arial" w:eastAsia="Arial" w:hAnsi="Arial"/>
                <w:sz w:val="19"/>
                <w:szCs w:val="19"/>
                <w:color w:val="auto"/>
              </w:rPr>
              <w:t>Return-on-invested-capital</w:t>
            </w:r>
          </w:p>
        </w:tc>
        <w:tc>
          <w:tcPr>
            <w:tcW w:w="1680" w:type="dxa"/>
            <w:vAlign w:val="bottom"/>
          </w:tcPr>
          <w:p>
            <w:pPr>
              <w:jc w:val="center"/>
              <w:spacing w:after="0"/>
              <w:rPr>
                <w:sz w:val="20"/>
                <w:szCs w:val="20"/>
                <w:color w:val="auto"/>
              </w:rPr>
            </w:pPr>
            <w:r>
              <w:rPr>
                <w:rFonts w:ascii="Arial" w:cs="Arial" w:eastAsia="Arial" w:hAnsi="Arial"/>
                <w:sz w:val="19"/>
                <w:szCs w:val="19"/>
                <w:color w:val="auto"/>
                <w:w w:val="92"/>
              </w:rPr>
              <w:t>7.8%</w:t>
            </w:r>
          </w:p>
        </w:tc>
        <w:tc>
          <w:tcPr>
            <w:tcW w:w="1780" w:type="dxa"/>
            <w:vAlign w:val="bottom"/>
            <w:gridSpan w:val="2"/>
          </w:tcPr>
          <w:p>
            <w:pPr>
              <w:jc w:val="center"/>
              <w:ind w:left="223"/>
              <w:spacing w:after="0"/>
              <w:rPr>
                <w:sz w:val="20"/>
                <w:szCs w:val="20"/>
                <w:color w:val="auto"/>
              </w:rPr>
            </w:pPr>
            <w:r>
              <w:rPr>
                <w:rFonts w:ascii="Arial" w:cs="Arial" w:eastAsia="Arial" w:hAnsi="Arial"/>
                <w:sz w:val="19"/>
                <w:szCs w:val="19"/>
                <w:color w:val="auto"/>
                <w:w w:val="96"/>
              </w:rPr>
              <w:t>8.4%</w:t>
            </w:r>
          </w:p>
        </w:tc>
        <w:tc>
          <w:tcPr>
            <w:tcW w:w="2020" w:type="dxa"/>
            <w:vAlign w:val="bottom"/>
            <w:gridSpan w:val="2"/>
          </w:tcPr>
          <w:p>
            <w:pPr>
              <w:jc w:val="center"/>
              <w:ind w:left="223"/>
              <w:spacing w:after="0"/>
              <w:rPr>
                <w:sz w:val="20"/>
                <w:szCs w:val="20"/>
                <w:color w:val="auto"/>
              </w:rPr>
            </w:pPr>
            <w:r>
              <w:rPr>
                <w:rFonts w:ascii="Arial" w:cs="Arial" w:eastAsia="Arial" w:hAnsi="Arial"/>
                <w:sz w:val="19"/>
                <w:szCs w:val="19"/>
                <w:color w:val="auto"/>
                <w:w w:val="96"/>
              </w:rPr>
              <w:t>9.6%</w:t>
            </w:r>
          </w:p>
        </w:tc>
      </w:tr>
    </w:tbl>
    <w:p>
      <w:pPr>
        <w:spacing w:after="0" w:line="3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Thus, if the Company had achieved pre-tax income of $399 million and return-on-invested-capital of 8.4 percent in 2007, the Chief Executive Officer would have received an annual bonus of 125 percent of his base salary and the other named executive officers (other than Mr. Halls) would have received annual bonuses of 75 percent of base salary. Bonus pay-outs are calculated on the basis of straight-line interpolation between the threshold, target, and maximum points. As the Company achieved neither the threshold level of pre-tax income nor the threshold level of return-on-invested-capital in 2007, we did not pay bonuses to corporate participants in the Annual Bonus Plan for 2007.</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6" w:name="page27"/>
    <w:bookmarkEnd w:id="26"/>
    <w:p>
      <w:pPr>
        <w:ind w:right="200" w:firstLine="357"/>
        <w:spacing w:after="0" w:line="262" w:lineRule="auto"/>
        <w:rPr>
          <w:sz w:val="20"/>
          <w:szCs w:val="20"/>
          <w:color w:val="auto"/>
        </w:rPr>
      </w:pPr>
      <w:r>
        <w:rPr>
          <w:rFonts w:ascii="Arial" w:cs="Arial" w:eastAsia="Arial" w:hAnsi="Arial"/>
          <w:sz w:val="19"/>
          <w:szCs w:val="19"/>
          <w:color w:val="auto"/>
        </w:rPr>
        <w:t>Mr. Halls’s target under the Annual Bonus Plan for 2007 was based upon the achievement by the operating divisions for which he has responsibility of a prescribed level of division profit. Division profit is a non-GAAP financial measure. It reflects income from continuing operations before income taxes, corporate expense, non-operating income, and net interest expense. A reconciliation of division profit to income from continuing operations is contained in the segment information footnote to our financial statements.</w:t>
      </w:r>
    </w:p>
    <w:p>
      <w:pPr>
        <w:spacing w:after="0" w:line="180"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One of the performance measures we use in determining annual bonuses, return-on-invested-capital (ROIC), is also a non-GAAP financial measure. For purposes of calculating the annual bonus, we define ROIC as follows:</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40" w:type="dxa"/>
            <w:vAlign w:val="bottom"/>
          </w:tcPr>
          <w:p>
            <w:pPr>
              <w:spacing w:after="0"/>
              <w:rPr>
                <w:sz w:val="18"/>
                <w:szCs w:val="18"/>
                <w:color w:val="auto"/>
              </w:rPr>
            </w:pPr>
          </w:p>
        </w:tc>
        <w:tc>
          <w:tcPr>
            <w:tcW w:w="3920" w:type="dxa"/>
            <w:vAlign w:val="bottom"/>
          </w:tcPr>
          <w:p>
            <w:pPr>
              <w:ind w:left="2820"/>
              <w:spacing w:after="0"/>
              <w:rPr>
                <w:sz w:val="20"/>
                <w:szCs w:val="20"/>
                <w:color w:val="auto"/>
              </w:rPr>
            </w:pPr>
            <w:r>
              <w:rPr>
                <w:rFonts w:ascii="Arial" w:cs="Arial" w:eastAsia="Arial" w:hAnsi="Arial"/>
                <w:sz w:val="19"/>
                <w:szCs w:val="19"/>
                <w:color w:val="auto"/>
              </w:rPr>
              <w:t>ROIC   =</w:t>
            </w:r>
          </w:p>
        </w:tc>
        <w:tc>
          <w:tcPr>
            <w:tcW w:w="7360" w:type="dxa"/>
            <w:vAlign w:val="bottom"/>
            <w:gridSpan w:val="4"/>
          </w:tcPr>
          <w:p>
            <w:pPr>
              <w:jc w:val="center"/>
              <w:ind w:right="5200"/>
              <w:spacing w:after="0"/>
              <w:rPr>
                <w:sz w:val="20"/>
                <w:szCs w:val="20"/>
                <w:color w:val="auto"/>
              </w:rPr>
            </w:pPr>
            <w:r>
              <w:rPr>
                <w:rFonts w:ascii="Arial" w:cs="Arial" w:eastAsia="Arial" w:hAnsi="Arial"/>
                <w:sz w:val="19"/>
                <w:szCs w:val="19"/>
                <w:color w:val="auto"/>
                <w:w w:val="92"/>
              </w:rPr>
              <w:t>Operating Profit after Taxes</w:t>
            </w:r>
          </w:p>
        </w:tc>
      </w:tr>
      <w:tr>
        <w:trPr>
          <w:trHeight w:val="281"/>
        </w:trPr>
        <w:tc>
          <w:tcPr>
            <w:tcW w:w="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160" w:type="dxa"/>
            <w:vAlign w:val="bottom"/>
            <w:tcBorders>
              <w:top w:val="single" w:sz="8" w:color="auto"/>
            </w:tcBorders>
            <w:gridSpan w:val="2"/>
          </w:tcPr>
          <w:p>
            <w:pPr>
              <w:jc w:val="center"/>
              <w:spacing w:after="0"/>
              <w:rPr>
                <w:sz w:val="20"/>
                <w:szCs w:val="20"/>
                <w:color w:val="auto"/>
              </w:rPr>
            </w:pPr>
            <w:r>
              <w:rPr>
                <w:rFonts w:ascii="Arial" w:cs="Arial" w:eastAsia="Arial" w:hAnsi="Arial"/>
                <w:sz w:val="19"/>
                <w:szCs w:val="19"/>
                <w:color w:val="auto"/>
                <w:w w:val="92"/>
              </w:rPr>
              <w:t>Average Invested Capital</w:t>
            </w:r>
          </w:p>
        </w:tc>
        <w:tc>
          <w:tcPr>
            <w:tcW w:w="5200" w:type="dxa"/>
            <w:vAlign w:val="bottom"/>
            <w:gridSpan w:val="2"/>
          </w:tcPr>
          <w:p>
            <w:pPr>
              <w:spacing w:after="0"/>
              <w:rPr>
                <w:sz w:val="24"/>
                <w:szCs w:val="24"/>
                <w:color w:val="auto"/>
              </w:rPr>
            </w:pPr>
          </w:p>
        </w:tc>
      </w:tr>
      <w:tr>
        <w:trPr>
          <w:trHeight w:val="249"/>
        </w:trPr>
        <w:tc>
          <w:tcPr>
            <w:tcW w:w="140" w:type="dxa"/>
            <w:vAlign w:val="bottom"/>
            <w:tcBorders>
              <w:bottom w:val="single" w:sz="8" w:color="auto"/>
            </w:tcBorders>
          </w:tcPr>
          <w:p>
            <w:pPr>
              <w:spacing w:after="0"/>
              <w:rPr>
                <w:sz w:val="21"/>
                <w:szCs w:val="21"/>
                <w:color w:val="auto"/>
              </w:rPr>
            </w:pPr>
          </w:p>
        </w:tc>
        <w:tc>
          <w:tcPr>
            <w:tcW w:w="4820" w:type="dxa"/>
            <w:vAlign w:val="bottom"/>
            <w:tcBorders>
              <w:bottom w:val="single" w:sz="8" w:color="auto"/>
            </w:tcBorders>
            <w:gridSpan w:val="2"/>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8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r>
      <w:tr>
        <w:trPr>
          <w:trHeight w:val="313"/>
        </w:trPr>
        <w:tc>
          <w:tcPr>
            <w:tcW w:w="140" w:type="dxa"/>
            <w:vAlign w:val="bottom"/>
            <w:tcBorders>
              <w:left w:val="single" w:sz="8" w:color="auto"/>
            </w:tcBorders>
          </w:tcPr>
          <w:p>
            <w:pPr>
              <w:spacing w:after="0"/>
              <w:rPr>
                <w:sz w:val="24"/>
                <w:szCs w:val="24"/>
                <w:color w:val="auto"/>
              </w:rPr>
            </w:pPr>
          </w:p>
        </w:tc>
        <w:tc>
          <w:tcPr>
            <w:tcW w:w="4820" w:type="dxa"/>
            <w:vAlign w:val="bottom"/>
            <w:gridSpan w:val="2"/>
          </w:tcPr>
          <w:p>
            <w:pPr>
              <w:ind w:left="1080"/>
              <w:spacing w:after="0"/>
              <w:rPr>
                <w:sz w:val="20"/>
                <w:szCs w:val="20"/>
                <w:color w:val="auto"/>
              </w:rPr>
            </w:pPr>
            <w:r>
              <w:rPr>
                <w:rFonts w:ascii="Arial" w:cs="Arial" w:eastAsia="Arial" w:hAnsi="Arial"/>
                <w:sz w:val="16"/>
                <w:szCs w:val="16"/>
                <w:b w:val="1"/>
                <w:bCs w:val="1"/>
                <w:color w:val="auto"/>
              </w:rPr>
              <w:t>Operating Profit after Taxes (Numerator)=</w:t>
            </w:r>
          </w:p>
        </w:tc>
        <w:tc>
          <w:tcPr>
            <w:tcW w:w="1260" w:type="dxa"/>
            <w:vAlign w:val="bottom"/>
          </w:tcPr>
          <w:p>
            <w:pPr>
              <w:spacing w:after="0"/>
              <w:rPr>
                <w:sz w:val="24"/>
                <w:szCs w:val="24"/>
                <w:color w:val="auto"/>
              </w:rPr>
            </w:pPr>
          </w:p>
        </w:tc>
        <w:tc>
          <w:tcPr>
            <w:tcW w:w="520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b w:val="1"/>
                <w:bCs w:val="1"/>
                <w:color w:val="auto"/>
              </w:rPr>
              <w:t>Average Invested Capital (Denominator)=</w:t>
            </w:r>
          </w:p>
        </w:tc>
      </w:tr>
      <w:tr>
        <w:trPr>
          <w:trHeight w:val="49"/>
        </w:trPr>
        <w:tc>
          <w:tcPr>
            <w:tcW w:w="140" w:type="dxa"/>
            <w:vAlign w:val="bottom"/>
            <w:tcBorders>
              <w:left w:val="single" w:sz="8" w:color="auto"/>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840" w:type="dxa"/>
            <w:vAlign w:val="bottom"/>
            <w:tcBorders>
              <w:bottom w:val="single" w:sz="8" w:color="auto"/>
            </w:tcBorders>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r>
      <w:tr>
        <w:trPr>
          <w:trHeight w:val="241"/>
        </w:trPr>
        <w:tc>
          <w:tcPr>
            <w:tcW w:w="140" w:type="dxa"/>
            <w:vAlign w:val="bottom"/>
            <w:tcBorders>
              <w:left w:val="single" w:sz="8" w:color="auto"/>
            </w:tcBorders>
          </w:tcPr>
          <w:p>
            <w:pPr>
              <w:spacing w:after="0"/>
              <w:rPr>
                <w:sz w:val="20"/>
                <w:szCs w:val="20"/>
                <w:color w:val="auto"/>
              </w:rPr>
            </w:pPr>
          </w:p>
        </w:tc>
        <w:tc>
          <w:tcPr>
            <w:tcW w:w="3920" w:type="dxa"/>
            <w:vAlign w:val="bottom"/>
          </w:tcPr>
          <w:p>
            <w:pPr>
              <w:ind w:left="120"/>
              <w:spacing w:after="0"/>
              <w:rPr>
                <w:sz w:val="20"/>
                <w:szCs w:val="20"/>
                <w:color w:val="auto"/>
              </w:rPr>
            </w:pPr>
            <w:r>
              <w:rPr>
                <w:rFonts w:ascii="Arial" w:cs="Arial" w:eastAsia="Arial" w:hAnsi="Arial"/>
                <w:sz w:val="19"/>
                <w:szCs w:val="19"/>
                <w:color w:val="auto"/>
              </w:rPr>
              <w:t>Pre-tax income</w:t>
            </w:r>
          </w:p>
        </w:tc>
        <w:tc>
          <w:tcPr>
            <w:tcW w:w="900" w:type="dxa"/>
            <w:vAlign w:val="bottom"/>
          </w:tcPr>
          <w:p>
            <w:pPr>
              <w:spacing w:after="0"/>
              <w:rPr>
                <w:sz w:val="20"/>
                <w:szCs w:val="20"/>
                <w:color w:val="auto"/>
              </w:rPr>
            </w:pPr>
          </w:p>
        </w:tc>
        <w:tc>
          <w:tcPr>
            <w:tcW w:w="6460" w:type="dxa"/>
            <w:vAlign w:val="bottom"/>
            <w:tcBorders>
              <w:right w:val="single" w:sz="8" w:color="auto"/>
            </w:tcBorders>
            <w:gridSpan w:val="3"/>
          </w:tcPr>
          <w:p>
            <w:pPr>
              <w:ind w:left="480"/>
              <w:spacing w:after="0"/>
              <w:rPr>
                <w:sz w:val="20"/>
                <w:szCs w:val="20"/>
                <w:color w:val="auto"/>
              </w:rPr>
            </w:pPr>
            <w:r>
              <w:rPr>
                <w:rFonts w:ascii="Arial" w:cs="Arial" w:eastAsia="Arial" w:hAnsi="Arial"/>
                <w:sz w:val="19"/>
                <w:szCs w:val="19"/>
                <w:color w:val="auto"/>
              </w:rPr>
              <w:t>Average total assets</w:t>
            </w:r>
          </w:p>
        </w:tc>
      </w:tr>
      <w:tr>
        <w:trPr>
          <w:trHeight w:val="64"/>
        </w:trPr>
        <w:tc>
          <w:tcPr>
            <w:tcW w:w="140" w:type="dxa"/>
            <w:vAlign w:val="bottom"/>
            <w:tcBorders>
              <w:left w:val="single" w:sz="8" w:color="auto"/>
            </w:tcBorders>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40" w:type="dxa"/>
            <w:vAlign w:val="bottom"/>
            <w:tcBorders>
              <w:bottom w:val="single" w:sz="8" w:color="auto"/>
            </w:tcBorders>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r>
      <w:tr>
        <w:trPr>
          <w:trHeight w:val="241"/>
        </w:trPr>
        <w:tc>
          <w:tcPr>
            <w:tcW w:w="140" w:type="dxa"/>
            <w:vAlign w:val="bottom"/>
            <w:tcBorders>
              <w:left w:val="single" w:sz="8" w:color="auto"/>
            </w:tcBorders>
          </w:tcPr>
          <w:p>
            <w:pPr>
              <w:spacing w:after="0"/>
              <w:rPr>
                <w:sz w:val="20"/>
                <w:szCs w:val="20"/>
                <w:color w:val="auto"/>
              </w:rPr>
            </w:pPr>
          </w:p>
        </w:tc>
        <w:tc>
          <w:tcPr>
            <w:tcW w:w="3920" w:type="dxa"/>
            <w:vAlign w:val="bottom"/>
          </w:tcPr>
          <w:p>
            <w:pPr>
              <w:ind w:left="120"/>
              <w:spacing w:after="0"/>
              <w:rPr>
                <w:sz w:val="20"/>
                <w:szCs w:val="20"/>
                <w:color w:val="auto"/>
              </w:rPr>
            </w:pPr>
            <w:r>
              <w:rPr>
                <w:rFonts w:ascii="Arial" w:cs="Arial" w:eastAsia="Arial" w:hAnsi="Arial"/>
                <w:sz w:val="19"/>
                <w:szCs w:val="19"/>
                <w:color w:val="auto"/>
              </w:rPr>
              <w:t>+/- interest expense/income</w:t>
            </w:r>
          </w:p>
        </w:tc>
        <w:tc>
          <w:tcPr>
            <w:tcW w:w="900" w:type="dxa"/>
            <w:vAlign w:val="bottom"/>
          </w:tcPr>
          <w:p>
            <w:pPr>
              <w:spacing w:after="0"/>
              <w:rPr>
                <w:sz w:val="20"/>
                <w:szCs w:val="20"/>
                <w:color w:val="auto"/>
              </w:rPr>
            </w:pPr>
          </w:p>
        </w:tc>
        <w:tc>
          <w:tcPr>
            <w:tcW w:w="6460" w:type="dxa"/>
            <w:vAlign w:val="bottom"/>
            <w:tcBorders>
              <w:right w:val="single" w:sz="8" w:color="auto"/>
            </w:tcBorders>
            <w:gridSpan w:val="3"/>
          </w:tcPr>
          <w:p>
            <w:pPr>
              <w:ind w:left="480"/>
              <w:spacing w:after="0"/>
              <w:rPr>
                <w:sz w:val="20"/>
                <w:szCs w:val="20"/>
                <w:color w:val="auto"/>
              </w:rPr>
            </w:pPr>
            <w:r>
              <w:rPr>
                <w:rFonts w:ascii="Arial" w:cs="Arial" w:eastAsia="Arial" w:hAnsi="Arial"/>
                <w:sz w:val="19"/>
                <w:szCs w:val="19"/>
                <w:color w:val="auto"/>
              </w:rPr>
              <w:t>- average cash, cash equivalents, and short-term investments</w:t>
            </w:r>
          </w:p>
        </w:tc>
      </w:tr>
      <w:tr>
        <w:trPr>
          <w:trHeight w:val="64"/>
        </w:trPr>
        <w:tc>
          <w:tcPr>
            <w:tcW w:w="140" w:type="dxa"/>
            <w:vAlign w:val="bottom"/>
            <w:tcBorders>
              <w:left w:val="single" w:sz="8" w:color="auto"/>
            </w:tcBorders>
          </w:tcPr>
          <w:p>
            <w:pPr>
              <w:spacing w:after="0"/>
              <w:rPr>
                <w:sz w:val="5"/>
                <w:szCs w:val="5"/>
                <w:color w:val="auto"/>
              </w:rPr>
            </w:pPr>
          </w:p>
        </w:tc>
        <w:tc>
          <w:tcPr>
            <w:tcW w:w="4820" w:type="dxa"/>
            <w:vAlign w:val="bottom"/>
            <w:tcBorders>
              <w:bottom w:val="single" w:sz="8" w:color="auto"/>
            </w:tcBorders>
            <w:gridSpan w:val="2"/>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40" w:type="dxa"/>
            <w:vAlign w:val="bottom"/>
            <w:tcBorders>
              <w:bottom w:val="single" w:sz="8" w:color="auto"/>
            </w:tcBorders>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r>
      <w:tr>
        <w:trPr>
          <w:trHeight w:val="241"/>
        </w:trPr>
        <w:tc>
          <w:tcPr>
            <w:tcW w:w="140" w:type="dxa"/>
            <w:vAlign w:val="bottom"/>
            <w:tcBorders>
              <w:left w:val="single" w:sz="8" w:color="auto"/>
            </w:tcBorders>
          </w:tcPr>
          <w:p>
            <w:pPr>
              <w:spacing w:after="0"/>
              <w:rPr>
                <w:sz w:val="20"/>
                <w:szCs w:val="20"/>
                <w:color w:val="auto"/>
              </w:rPr>
            </w:pPr>
          </w:p>
        </w:tc>
        <w:tc>
          <w:tcPr>
            <w:tcW w:w="4820" w:type="dxa"/>
            <w:vAlign w:val="bottom"/>
            <w:gridSpan w:val="2"/>
          </w:tcPr>
          <w:p>
            <w:pPr>
              <w:ind w:left="120"/>
              <w:spacing w:after="0"/>
              <w:rPr>
                <w:sz w:val="20"/>
                <w:szCs w:val="20"/>
                <w:color w:val="auto"/>
              </w:rPr>
            </w:pPr>
            <w:r>
              <w:rPr>
                <w:rFonts w:ascii="Arial" w:cs="Arial" w:eastAsia="Arial" w:hAnsi="Arial"/>
                <w:sz w:val="19"/>
                <w:szCs w:val="19"/>
                <w:color w:val="auto"/>
              </w:rPr>
              <w:t>+ implied interest portion of operating lease payments</w:t>
            </w:r>
          </w:p>
        </w:tc>
        <w:tc>
          <w:tcPr>
            <w:tcW w:w="6460" w:type="dxa"/>
            <w:vAlign w:val="bottom"/>
            <w:tcBorders>
              <w:right w:val="single" w:sz="8" w:color="auto"/>
            </w:tcBorders>
            <w:gridSpan w:val="3"/>
          </w:tcPr>
          <w:p>
            <w:pPr>
              <w:ind w:left="480"/>
              <w:spacing w:after="0"/>
              <w:rPr>
                <w:sz w:val="20"/>
                <w:szCs w:val="20"/>
                <w:color w:val="auto"/>
              </w:rPr>
            </w:pPr>
            <w:r>
              <w:rPr>
                <w:rFonts w:ascii="Arial" w:cs="Arial" w:eastAsia="Arial" w:hAnsi="Arial"/>
                <w:sz w:val="19"/>
                <w:szCs w:val="19"/>
                <w:color w:val="auto"/>
              </w:rPr>
              <w:t>- average year-end inventory</w:t>
            </w:r>
          </w:p>
        </w:tc>
      </w:tr>
      <w:tr>
        <w:trPr>
          <w:trHeight w:val="64"/>
        </w:trPr>
        <w:tc>
          <w:tcPr>
            <w:tcW w:w="140" w:type="dxa"/>
            <w:vAlign w:val="bottom"/>
            <w:tcBorders>
              <w:left w:val="single" w:sz="8" w:color="auto"/>
            </w:tcBorders>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40" w:type="dxa"/>
            <w:vAlign w:val="bottom"/>
            <w:tcBorders>
              <w:bottom w:val="single" w:sz="8" w:color="auto"/>
            </w:tcBorders>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r>
      <w:tr>
        <w:trPr>
          <w:trHeight w:val="241"/>
        </w:trPr>
        <w:tc>
          <w:tcPr>
            <w:tcW w:w="140" w:type="dxa"/>
            <w:vAlign w:val="bottom"/>
            <w:tcBorders>
              <w:left w:val="single" w:sz="8" w:color="auto"/>
            </w:tcBorders>
          </w:tcPr>
          <w:p>
            <w:pPr>
              <w:spacing w:after="0"/>
              <w:rPr>
                <w:sz w:val="20"/>
                <w:szCs w:val="20"/>
                <w:color w:val="auto"/>
              </w:rPr>
            </w:pPr>
          </w:p>
        </w:tc>
        <w:tc>
          <w:tcPr>
            <w:tcW w:w="3920" w:type="dxa"/>
            <w:vAlign w:val="bottom"/>
          </w:tcPr>
          <w:p>
            <w:pPr>
              <w:ind w:left="120"/>
              <w:spacing w:after="0"/>
              <w:rPr>
                <w:sz w:val="20"/>
                <w:szCs w:val="20"/>
                <w:color w:val="auto"/>
              </w:rPr>
            </w:pPr>
            <w:r>
              <w:rPr>
                <w:rFonts w:ascii="Arial" w:cs="Arial" w:eastAsia="Arial" w:hAnsi="Arial"/>
                <w:sz w:val="19"/>
                <w:szCs w:val="19"/>
                <w:color w:val="auto"/>
              </w:rPr>
              <w:t>+/- Unusual/non-recurring items</w:t>
            </w:r>
          </w:p>
        </w:tc>
        <w:tc>
          <w:tcPr>
            <w:tcW w:w="900" w:type="dxa"/>
            <w:vAlign w:val="bottom"/>
          </w:tcPr>
          <w:p>
            <w:pPr>
              <w:spacing w:after="0"/>
              <w:rPr>
                <w:sz w:val="20"/>
                <w:szCs w:val="20"/>
                <w:color w:val="auto"/>
              </w:rPr>
            </w:pPr>
          </w:p>
        </w:tc>
        <w:tc>
          <w:tcPr>
            <w:tcW w:w="6460" w:type="dxa"/>
            <w:vAlign w:val="bottom"/>
            <w:tcBorders>
              <w:right w:val="single" w:sz="8" w:color="auto"/>
            </w:tcBorders>
            <w:gridSpan w:val="3"/>
          </w:tcPr>
          <w:p>
            <w:pPr>
              <w:ind w:left="480"/>
              <w:spacing w:after="0"/>
              <w:rPr>
                <w:sz w:val="20"/>
                <w:szCs w:val="20"/>
                <w:color w:val="auto"/>
              </w:rPr>
            </w:pPr>
            <w:r>
              <w:rPr>
                <w:rFonts w:ascii="Arial" w:cs="Arial" w:eastAsia="Arial" w:hAnsi="Arial"/>
                <w:sz w:val="19"/>
                <w:szCs w:val="19"/>
                <w:color w:val="auto"/>
              </w:rPr>
              <w:t>+ 13-month average inventory</w:t>
            </w:r>
          </w:p>
        </w:tc>
      </w:tr>
      <w:tr>
        <w:trPr>
          <w:trHeight w:val="64"/>
        </w:trPr>
        <w:tc>
          <w:tcPr>
            <w:tcW w:w="140" w:type="dxa"/>
            <w:vAlign w:val="bottom"/>
            <w:tcBorders>
              <w:left w:val="single" w:sz="8" w:color="auto"/>
            </w:tcBorders>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40" w:type="dxa"/>
            <w:vAlign w:val="bottom"/>
            <w:tcBorders>
              <w:bottom w:val="single" w:sz="8" w:color="auto"/>
            </w:tcBorders>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r>
      <w:tr>
        <w:trPr>
          <w:trHeight w:val="241"/>
        </w:trPr>
        <w:tc>
          <w:tcPr>
            <w:tcW w:w="140" w:type="dxa"/>
            <w:vAlign w:val="bottom"/>
            <w:tcBorders>
              <w:left w:val="single" w:sz="8" w:color="auto"/>
            </w:tcBorders>
          </w:tcPr>
          <w:p>
            <w:pPr>
              <w:spacing w:after="0"/>
              <w:rPr>
                <w:sz w:val="20"/>
                <w:szCs w:val="20"/>
                <w:color w:val="auto"/>
              </w:rPr>
            </w:pPr>
          </w:p>
        </w:tc>
        <w:tc>
          <w:tcPr>
            <w:tcW w:w="3920" w:type="dxa"/>
            <w:vAlign w:val="bottom"/>
          </w:tcPr>
          <w:p>
            <w:pPr>
              <w:ind w:left="120"/>
              <w:spacing w:after="0"/>
              <w:rPr>
                <w:sz w:val="20"/>
                <w:szCs w:val="20"/>
                <w:color w:val="auto"/>
              </w:rPr>
            </w:pPr>
            <w:r>
              <w:rPr>
                <w:rFonts w:ascii="Arial" w:cs="Arial" w:eastAsia="Arial" w:hAnsi="Arial"/>
                <w:sz w:val="19"/>
                <w:szCs w:val="19"/>
                <w:color w:val="auto"/>
              </w:rPr>
              <w:t>= Earnings before interest and taxes (EBIT)</w:t>
            </w:r>
          </w:p>
        </w:tc>
        <w:tc>
          <w:tcPr>
            <w:tcW w:w="900" w:type="dxa"/>
            <w:vAlign w:val="bottom"/>
          </w:tcPr>
          <w:p>
            <w:pPr>
              <w:spacing w:after="0"/>
              <w:rPr>
                <w:sz w:val="20"/>
                <w:szCs w:val="20"/>
                <w:color w:val="auto"/>
              </w:rPr>
            </w:pPr>
          </w:p>
        </w:tc>
        <w:tc>
          <w:tcPr>
            <w:tcW w:w="6460" w:type="dxa"/>
            <w:vAlign w:val="bottom"/>
            <w:tcBorders>
              <w:right w:val="single" w:sz="8" w:color="auto"/>
            </w:tcBorders>
            <w:gridSpan w:val="3"/>
          </w:tcPr>
          <w:p>
            <w:pPr>
              <w:ind w:left="480"/>
              <w:spacing w:after="0"/>
              <w:rPr>
                <w:sz w:val="20"/>
                <w:szCs w:val="20"/>
                <w:color w:val="auto"/>
              </w:rPr>
            </w:pPr>
            <w:r>
              <w:rPr>
                <w:rFonts w:ascii="Arial" w:cs="Arial" w:eastAsia="Arial" w:hAnsi="Arial"/>
                <w:sz w:val="19"/>
                <w:szCs w:val="19"/>
                <w:color w:val="auto"/>
              </w:rPr>
              <w:t>+ average estimated asset base of capitalized operating leases</w:t>
            </w:r>
          </w:p>
        </w:tc>
      </w:tr>
      <w:tr>
        <w:trPr>
          <w:trHeight w:val="64"/>
        </w:trPr>
        <w:tc>
          <w:tcPr>
            <w:tcW w:w="140" w:type="dxa"/>
            <w:vAlign w:val="bottom"/>
            <w:tcBorders>
              <w:left w:val="single" w:sz="8" w:color="auto"/>
            </w:tcBorders>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40" w:type="dxa"/>
            <w:vAlign w:val="bottom"/>
            <w:tcBorders>
              <w:bottom w:val="single" w:sz="8" w:color="auto"/>
            </w:tcBorders>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r>
      <w:tr>
        <w:trPr>
          <w:trHeight w:val="241"/>
        </w:trPr>
        <w:tc>
          <w:tcPr>
            <w:tcW w:w="140" w:type="dxa"/>
            <w:vAlign w:val="bottom"/>
            <w:tcBorders>
              <w:left w:val="single" w:sz="8" w:color="auto"/>
            </w:tcBorders>
          </w:tcPr>
          <w:p>
            <w:pPr>
              <w:spacing w:after="0"/>
              <w:rPr>
                <w:sz w:val="20"/>
                <w:szCs w:val="20"/>
                <w:color w:val="auto"/>
              </w:rPr>
            </w:pPr>
          </w:p>
        </w:tc>
        <w:tc>
          <w:tcPr>
            <w:tcW w:w="3920" w:type="dxa"/>
            <w:vAlign w:val="bottom"/>
          </w:tcPr>
          <w:p>
            <w:pPr>
              <w:ind w:left="120"/>
              <w:spacing w:after="0"/>
              <w:rPr>
                <w:sz w:val="20"/>
                <w:szCs w:val="20"/>
                <w:color w:val="auto"/>
              </w:rPr>
            </w:pPr>
            <w:r>
              <w:rPr>
                <w:rFonts w:ascii="Arial" w:cs="Arial" w:eastAsia="Arial" w:hAnsi="Arial"/>
                <w:sz w:val="19"/>
                <w:szCs w:val="19"/>
                <w:color w:val="auto"/>
              </w:rPr>
              <w:t>- Estimated income tax expense</w:t>
            </w:r>
          </w:p>
        </w:tc>
        <w:tc>
          <w:tcPr>
            <w:tcW w:w="900" w:type="dxa"/>
            <w:vAlign w:val="bottom"/>
          </w:tcPr>
          <w:p>
            <w:pPr>
              <w:spacing w:after="0"/>
              <w:rPr>
                <w:sz w:val="20"/>
                <w:szCs w:val="20"/>
                <w:color w:val="auto"/>
              </w:rPr>
            </w:pPr>
          </w:p>
        </w:tc>
        <w:tc>
          <w:tcPr>
            <w:tcW w:w="6460" w:type="dxa"/>
            <w:vAlign w:val="bottom"/>
            <w:tcBorders>
              <w:right w:val="single" w:sz="8" w:color="auto"/>
            </w:tcBorders>
            <w:gridSpan w:val="3"/>
          </w:tcPr>
          <w:p>
            <w:pPr>
              <w:ind w:left="480"/>
              <w:spacing w:after="0"/>
              <w:rPr>
                <w:sz w:val="20"/>
                <w:szCs w:val="20"/>
                <w:color w:val="auto"/>
              </w:rPr>
            </w:pPr>
            <w:r>
              <w:rPr>
                <w:rFonts w:ascii="Arial" w:cs="Arial" w:eastAsia="Arial" w:hAnsi="Arial"/>
                <w:sz w:val="19"/>
                <w:szCs w:val="19"/>
                <w:color w:val="auto"/>
              </w:rPr>
              <w:t>= Average Invested Capital</w:t>
            </w:r>
          </w:p>
        </w:tc>
      </w:tr>
      <w:tr>
        <w:trPr>
          <w:trHeight w:val="64"/>
        </w:trPr>
        <w:tc>
          <w:tcPr>
            <w:tcW w:w="140" w:type="dxa"/>
            <w:vAlign w:val="bottom"/>
            <w:tcBorders>
              <w:left w:val="single" w:sz="8" w:color="auto"/>
            </w:tcBorders>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40" w:type="dxa"/>
            <w:vAlign w:val="bottom"/>
            <w:tcBorders>
              <w:bottom w:val="single" w:sz="8" w:color="auto"/>
            </w:tcBorders>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r>
      <w:tr>
        <w:trPr>
          <w:trHeight w:val="241"/>
        </w:trPr>
        <w:tc>
          <w:tcPr>
            <w:tcW w:w="140" w:type="dxa"/>
            <w:vAlign w:val="bottom"/>
            <w:tcBorders>
              <w:left w:val="single" w:sz="8" w:color="auto"/>
            </w:tcBorders>
          </w:tcPr>
          <w:p>
            <w:pPr>
              <w:spacing w:after="0"/>
              <w:rPr>
                <w:sz w:val="20"/>
                <w:szCs w:val="20"/>
                <w:color w:val="auto"/>
              </w:rPr>
            </w:pPr>
          </w:p>
        </w:tc>
        <w:tc>
          <w:tcPr>
            <w:tcW w:w="3920" w:type="dxa"/>
            <w:vAlign w:val="bottom"/>
          </w:tcPr>
          <w:p>
            <w:pPr>
              <w:ind w:left="120"/>
              <w:spacing w:after="0"/>
              <w:rPr>
                <w:sz w:val="20"/>
                <w:szCs w:val="20"/>
                <w:color w:val="auto"/>
              </w:rPr>
            </w:pPr>
            <w:r>
              <w:rPr>
                <w:rFonts w:ascii="Arial" w:cs="Arial" w:eastAsia="Arial" w:hAnsi="Arial"/>
                <w:sz w:val="19"/>
                <w:szCs w:val="19"/>
                <w:color w:val="auto"/>
              </w:rPr>
              <w:t>= Operating Profit after Taxes</w:t>
            </w: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r>
      <w:tr>
        <w:trPr>
          <w:trHeight w:val="33"/>
        </w:trPr>
        <w:tc>
          <w:tcPr>
            <w:tcW w:w="140" w:type="dxa"/>
            <w:vAlign w:val="bottom"/>
            <w:tcBorders>
              <w:left w:val="single" w:sz="8" w:color="auto"/>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r>
    </w:tbl>
    <w:p>
      <w:pPr>
        <w:spacing w:after="0" w:line="335"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Certain items used in the calculation of ROIC, such as the implied interest portion of operating lease payments, certain unusual or non-recurring items, average estimated asset base of capitalized operating leases, and 13-month average inventory, while calculated from the financial records of the Company, cannot be calculated from our audited financial statements. Prior to the Compensation Committee determining whether bonus targets have been achieved, the Company’s independent registered public accounting firm, at the request, and for the restricted use, of the Compensation Committee, reviews the bonus calculations.</w:t>
      </w:r>
    </w:p>
    <w:p>
      <w:pPr>
        <w:spacing w:after="0" w:line="77"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The performance targets established by the Compensation Committee are based upon the business plan and budget reviewed and approved each year by the Finance and Strategic Planning Committee and the Board of Directors. We believe that these targets are reasonably demanding as evidenced by our pay-out history over the past five years. During that time, we have paid an annual bonus to corporate officers between threshold and target once, between target and maximum twice, and we have paid no annual bonus twice.</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Performance-Based Long-Term Bonus</w:t>
      </w:r>
    </w:p>
    <w:p>
      <w:pPr>
        <w:spacing w:after="0" w:line="119"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We pay performance-based long-term bonuses to our named executive officers under our Long-Term Incentive Compensation Plan (“Long-Term Plan”) in order to provide incentive for them to work toward the Company’s achievement of performance goals established by the Compensation Committee for each three-year performance period. While bonuses under the Long-Term Plan may be paid in either cash or stock, in recent years, we have made these payments in cash.</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many years, target payments under the Long-Term Plan for senior corporate officers have been at the following levels: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539"/>
        </w:trPr>
        <w:tc>
          <w:tcPr>
            <w:tcW w:w="1020" w:type="dxa"/>
            <w:vAlign w:val="bottom"/>
            <w:tcBorders>
              <w:top w:val="single" w:sz="8" w:color="auto"/>
              <w:left w:val="single" w:sz="8" w:color="auto"/>
            </w:tcBorders>
          </w:tcPr>
          <w:p>
            <w:pPr>
              <w:spacing w:after="0"/>
              <w:rPr>
                <w:sz w:val="24"/>
                <w:szCs w:val="24"/>
                <w:color w:val="auto"/>
              </w:rPr>
            </w:pPr>
          </w:p>
        </w:tc>
        <w:tc>
          <w:tcPr>
            <w:tcW w:w="3360" w:type="dxa"/>
            <w:vAlign w:val="bottom"/>
            <w:tcBorders>
              <w:top w:val="single" w:sz="8" w:color="auto"/>
            </w:tcBorders>
          </w:tcPr>
          <w:p>
            <w:pPr>
              <w:ind w:left="1460"/>
              <w:spacing w:after="0"/>
              <w:rPr>
                <w:sz w:val="20"/>
                <w:szCs w:val="20"/>
                <w:color w:val="auto"/>
              </w:rPr>
            </w:pPr>
            <w:r>
              <w:rPr>
                <w:rFonts w:ascii="Arial" w:cs="Arial" w:eastAsia="Arial" w:hAnsi="Arial"/>
                <w:sz w:val="16"/>
                <w:szCs w:val="16"/>
                <w:b w:val="1"/>
                <w:bCs w:val="1"/>
                <w:color w:val="auto"/>
              </w:rPr>
              <w:t>Target</w:t>
            </w:r>
          </w:p>
        </w:tc>
        <w:tc>
          <w:tcPr>
            <w:tcW w:w="320" w:type="dxa"/>
            <w:vAlign w:val="bottom"/>
            <w:tcBorders>
              <w:top w:val="single" w:sz="8" w:color="auto"/>
            </w:tcBorders>
          </w:tcPr>
          <w:p>
            <w:pPr>
              <w:spacing w:after="0"/>
              <w:rPr>
                <w:sz w:val="24"/>
                <w:szCs w:val="24"/>
                <w:color w:val="auto"/>
              </w:rPr>
            </w:pPr>
          </w:p>
        </w:tc>
        <w:tc>
          <w:tcPr>
            <w:tcW w:w="6720" w:type="dxa"/>
            <w:vAlign w:val="bottom"/>
            <w:tcBorders>
              <w:top w:val="single" w:sz="8" w:color="auto"/>
              <w:right w:val="single" w:sz="8" w:color="auto"/>
            </w:tcBorders>
            <w:gridSpan w:val="2"/>
          </w:tcPr>
          <w:p>
            <w:pPr>
              <w:jc w:val="center"/>
              <w:ind w:right="1260"/>
              <w:spacing w:after="0"/>
              <w:rPr>
                <w:sz w:val="20"/>
                <w:szCs w:val="20"/>
                <w:color w:val="auto"/>
              </w:rPr>
            </w:pPr>
            <w:r>
              <w:rPr>
                <w:rFonts w:ascii="Arial" w:cs="Arial" w:eastAsia="Arial" w:hAnsi="Arial"/>
                <w:sz w:val="16"/>
                <w:szCs w:val="16"/>
                <w:b w:val="1"/>
                <w:bCs w:val="1"/>
                <w:color w:val="auto"/>
                <w:w w:val="87"/>
              </w:rPr>
              <w:t>Range of Payments</w:t>
            </w:r>
          </w:p>
        </w:tc>
      </w:tr>
      <w:tr>
        <w:trPr>
          <w:trHeight w:val="248"/>
        </w:trPr>
        <w:tc>
          <w:tcPr>
            <w:tcW w:w="1020" w:type="dxa"/>
            <w:vAlign w:val="bottom"/>
            <w:tcBorders>
              <w:left w:val="single" w:sz="8" w:color="auto"/>
            </w:tcBorders>
          </w:tcPr>
          <w:p>
            <w:pPr>
              <w:spacing w:after="0"/>
              <w:rPr>
                <w:sz w:val="21"/>
                <w:szCs w:val="21"/>
                <w:color w:val="auto"/>
              </w:rPr>
            </w:pPr>
          </w:p>
        </w:tc>
        <w:tc>
          <w:tcPr>
            <w:tcW w:w="3360" w:type="dxa"/>
            <w:vAlign w:val="bottom"/>
            <w:tcBorders>
              <w:top w:val="single" w:sz="8" w:color="auto"/>
              <w:bottom w:val="single" w:sz="8" w:color="E5FFFF"/>
            </w:tcBorders>
            <w:shd w:val="clear" w:color="auto" w:fill="E5FFFF"/>
          </w:tcPr>
          <w:p>
            <w:pPr>
              <w:ind w:left="20"/>
              <w:spacing w:after="0"/>
              <w:rPr>
                <w:sz w:val="20"/>
                <w:szCs w:val="20"/>
                <w:color w:val="auto"/>
              </w:rPr>
            </w:pPr>
            <w:r>
              <w:rPr>
                <w:rFonts w:ascii="Arial" w:cs="Arial" w:eastAsia="Arial" w:hAnsi="Arial"/>
                <w:sz w:val="19"/>
                <w:szCs w:val="19"/>
                <w:color w:val="auto"/>
              </w:rPr>
              <w:t>90% of Initial Base Salary</w:t>
            </w:r>
          </w:p>
        </w:tc>
        <w:tc>
          <w:tcPr>
            <w:tcW w:w="320" w:type="dxa"/>
            <w:vAlign w:val="bottom"/>
            <w:tcBorders>
              <w:bottom w:val="single" w:sz="8" w:color="E5FFFF"/>
            </w:tcBorders>
            <w:shd w:val="clear" w:color="auto" w:fill="E5FFFF"/>
          </w:tcPr>
          <w:p>
            <w:pPr>
              <w:spacing w:after="0"/>
              <w:rPr>
                <w:sz w:val="21"/>
                <w:szCs w:val="21"/>
                <w:color w:val="auto"/>
              </w:rPr>
            </w:pPr>
          </w:p>
        </w:tc>
        <w:tc>
          <w:tcPr>
            <w:tcW w:w="5460" w:type="dxa"/>
            <w:vAlign w:val="bottom"/>
            <w:tcBorders>
              <w:top w:val="single" w:sz="8" w:color="auto"/>
              <w:bottom w:val="single" w:sz="8" w:color="E5FFFF"/>
            </w:tcBorders>
            <w:shd w:val="clear" w:color="auto" w:fill="E5FFFF"/>
          </w:tcPr>
          <w:p>
            <w:pPr>
              <w:jc w:val="center"/>
              <w:spacing w:after="0"/>
              <w:rPr>
                <w:sz w:val="20"/>
                <w:szCs w:val="20"/>
                <w:color w:val="auto"/>
              </w:rPr>
            </w:pPr>
            <w:r>
              <w:rPr>
                <w:rFonts w:ascii="Arial" w:cs="Arial" w:eastAsia="Arial" w:hAnsi="Arial"/>
                <w:sz w:val="19"/>
                <w:szCs w:val="19"/>
                <w:color w:val="auto"/>
                <w:w w:val="93"/>
              </w:rPr>
              <w:t>22.5% to 180% of Initial Base Salary</w:t>
            </w:r>
          </w:p>
        </w:tc>
        <w:tc>
          <w:tcPr>
            <w:tcW w:w="1260" w:type="dxa"/>
            <w:vAlign w:val="bottom"/>
            <w:tcBorders>
              <w:right w:val="single" w:sz="8" w:color="auto"/>
            </w:tcBorders>
          </w:tcPr>
          <w:p>
            <w:pPr>
              <w:spacing w:after="0"/>
              <w:rPr>
                <w:sz w:val="21"/>
                <w:szCs w:val="21"/>
                <w:color w:val="auto"/>
              </w:rPr>
            </w:pPr>
          </w:p>
        </w:tc>
      </w:tr>
      <w:tr>
        <w:trPr>
          <w:trHeight w:val="280"/>
        </w:trPr>
        <w:tc>
          <w:tcPr>
            <w:tcW w:w="1020" w:type="dxa"/>
            <w:vAlign w:val="bottom"/>
            <w:tcBorders>
              <w:left w:val="single" w:sz="8" w:color="auto"/>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446"/>
        </w:trPr>
        <w:tc>
          <w:tcPr>
            <w:tcW w:w="1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780" w:type="dxa"/>
            <w:vAlign w:val="bottom"/>
            <w:gridSpan w:val="2"/>
          </w:tcPr>
          <w:p>
            <w:pPr>
              <w:jc w:val="right"/>
              <w:ind w:right="4252"/>
              <w:spacing w:after="0"/>
              <w:rPr>
                <w:sz w:val="20"/>
                <w:szCs w:val="20"/>
                <w:color w:val="auto"/>
              </w:rPr>
            </w:pPr>
            <w:r>
              <w:rPr>
                <w:rFonts w:ascii="Arial" w:cs="Arial" w:eastAsia="Arial" w:hAnsi="Arial"/>
                <w:sz w:val="19"/>
                <w:szCs w:val="19"/>
                <w:color w:val="auto"/>
              </w:rPr>
              <w:t>22</w:t>
            </w:r>
          </w:p>
        </w:tc>
        <w:tc>
          <w:tcPr>
            <w:tcW w:w="1260" w:type="dxa"/>
            <w:vAlign w:val="bottom"/>
          </w:tcPr>
          <w:p>
            <w:pPr>
              <w:spacing w:after="0"/>
              <w:rPr>
                <w:sz w:val="24"/>
                <w:szCs w:val="24"/>
                <w:color w:val="auto"/>
              </w:rPr>
            </w:pPr>
          </w:p>
        </w:tc>
      </w:tr>
      <w:tr>
        <w:trPr>
          <w:trHeight w:val="222"/>
        </w:trPr>
        <w:tc>
          <w:tcPr>
            <w:tcW w:w="10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-627380</wp:posOffset>
            </wp:positionV>
            <wp:extent cx="580580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05805" cy="17145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If the Company does not achieve threshold performance, as was the case for the 2005-2007 performance period, then no long-term bonus is paid.</w:t>
      </w:r>
    </w:p>
    <w:p>
      <w:pPr>
        <w:spacing w:after="0" w:line="250"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Pay-out levels are based on an executive’s rate of base salary payable in the first year of the three-year performance period. For example, if an executive’s base salary is set at $500,000 at the time executive salaries are reviewed in the first year of the performance period, that executive’s target pay-out under the Long-Term Plan would be $450,000.</w:t>
      </w:r>
    </w:p>
    <w:p>
      <w:pPr>
        <w:spacing w:after="0" w:line="68" w:lineRule="exact"/>
        <w:rPr>
          <w:sz w:val="20"/>
          <w:szCs w:val="20"/>
          <w:color w:val="auto"/>
        </w:rPr>
      </w:pPr>
    </w:p>
    <w:p>
      <w:pPr>
        <w:ind w:right="220" w:firstLine="357"/>
        <w:spacing w:after="0" w:line="272" w:lineRule="auto"/>
        <w:rPr>
          <w:sz w:val="20"/>
          <w:szCs w:val="20"/>
          <w:color w:val="auto"/>
        </w:rPr>
      </w:pPr>
      <w:r>
        <w:rPr>
          <w:rFonts w:ascii="Arial" w:cs="Arial" w:eastAsia="Arial" w:hAnsi="Arial"/>
          <w:sz w:val="18"/>
          <w:szCs w:val="18"/>
          <w:color w:val="auto"/>
        </w:rPr>
        <w:t>Our Long-Term Plan allows the Compensation Committee, in establishing performance targets under the plan, to choose one or both of consolidated net income or return-on-invested-capital, factors approved by our shareholders. In 2007, the Committee established a performance target for the 2007-2009 performance period under the long-term plan based upon return-on-invested capital. Off of the planned invested capital base, the Company must achieve 80 percent of target after-tax income before a threshold-level bonus is paid, and the maximum pay-out level is reached if after-tax income reaches 120 percent of target. It should be noted that the actual invested capital base will also fluctuate, and the final pay-out for the performance period will also depend upon the invested capital base achieved during the period. Return-on-invested-capital is calculated using the same methodology as is used for the Annual Bonus Plan, as described on Page 22, except that, in addition, long-term bonus expense is excluded from the operating profit calculation.</w:t>
      </w:r>
    </w:p>
    <w:p>
      <w:pPr>
        <w:spacing w:after="0" w:line="68" w:lineRule="exact"/>
        <w:rPr>
          <w:sz w:val="20"/>
          <w:szCs w:val="20"/>
          <w:color w:val="auto"/>
        </w:rPr>
      </w:pPr>
    </w:p>
    <w:p>
      <w:pPr>
        <w:ind w:right="200" w:firstLine="357"/>
        <w:spacing w:after="0" w:line="262" w:lineRule="auto"/>
        <w:rPr>
          <w:sz w:val="20"/>
          <w:szCs w:val="20"/>
          <w:color w:val="auto"/>
        </w:rPr>
      </w:pPr>
      <w:r>
        <w:rPr>
          <w:rFonts w:ascii="Arial" w:cs="Arial" w:eastAsia="Arial" w:hAnsi="Arial"/>
          <w:sz w:val="19"/>
          <w:szCs w:val="19"/>
          <w:color w:val="auto"/>
        </w:rPr>
        <w:t>These performance targets are based upon the business plan and budget for the three-year period reviewed and approved by the Finance and Strategic Planning Committee and the Board of Directors. We believe that these targets are reasonably demanding as evidenced by our pay-out history over the last five years. During that time, we have paid long-term bonuses between threshold and target once, between target and maximum three times, and there has been no pay-out once.</w:t>
      </w:r>
    </w:p>
    <w:p>
      <w:pPr>
        <w:spacing w:after="0" w:line="72" w:lineRule="exact"/>
        <w:rPr>
          <w:sz w:val="20"/>
          <w:szCs w:val="20"/>
          <w:color w:val="auto"/>
        </w:rPr>
      </w:pPr>
    </w:p>
    <w:p>
      <w:pPr>
        <w:ind w:right="480" w:firstLine="357"/>
        <w:spacing w:after="0" w:line="283" w:lineRule="auto"/>
        <w:rPr>
          <w:sz w:val="20"/>
          <w:szCs w:val="20"/>
          <w:color w:val="auto"/>
        </w:rPr>
      </w:pPr>
      <w:r>
        <w:rPr>
          <w:rFonts w:ascii="Arial" w:cs="Arial" w:eastAsia="Arial" w:hAnsi="Arial"/>
          <w:sz w:val="19"/>
          <w:szCs w:val="19"/>
          <w:color w:val="auto"/>
        </w:rPr>
        <w:t>In 2005, the Compensation Committee established the following return-on-invested-capital target for the 2005-2007 performance period under the Long-Term Plan:</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539"/>
        </w:trPr>
        <w:tc>
          <w:tcPr>
            <w:tcW w:w="520" w:type="dxa"/>
            <w:vAlign w:val="bottom"/>
            <w:tcBorders>
              <w:top w:val="single" w:sz="8" w:color="auto"/>
              <w:left w:val="single" w:sz="8" w:color="auto"/>
            </w:tcBorders>
          </w:tcPr>
          <w:p>
            <w:pPr>
              <w:spacing w:after="0"/>
              <w:rPr>
                <w:sz w:val="24"/>
                <w:szCs w:val="24"/>
                <w:color w:val="auto"/>
              </w:rPr>
            </w:pPr>
          </w:p>
        </w:tc>
        <w:tc>
          <w:tcPr>
            <w:tcW w:w="7140" w:type="dxa"/>
            <w:vAlign w:val="bottom"/>
            <w:tcBorders>
              <w:top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Threshold</w:t>
            </w:r>
          </w:p>
        </w:tc>
        <w:tc>
          <w:tcPr>
            <w:tcW w:w="280" w:type="dxa"/>
            <w:vAlign w:val="bottom"/>
            <w:tcBorders>
              <w:top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Target</w:t>
            </w: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Maximum</w:t>
            </w:r>
          </w:p>
        </w:tc>
        <w:tc>
          <w:tcPr>
            <w:tcW w:w="760" w:type="dxa"/>
            <w:vAlign w:val="bottom"/>
            <w:tcBorders>
              <w:top w:val="single" w:sz="8" w:color="auto"/>
              <w:right w:val="single" w:sz="8" w:color="auto"/>
            </w:tcBorders>
          </w:tcPr>
          <w:p>
            <w:pPr>
              <w:spacing w:after="0"/>
              <w:rPr>
                <w:sz w:val="24"/>
                <w:szCs w:val="24"/>
                <w:color w:val="auto"/>
              </w:rPr>
            </w:pPr>
          </w:p>
        </w:tc>
      </w:tr>
      <w:tr>
        <w:trPr>
          <w:trHeight w:val="268"/>
        </w:trPr>
        <w:tc>
          <w:tcPr>
            <w:tcW w:w="520" w:type="dxa"/>
            <w:vAlign w:val="bottom"/>
            <w:tcBorders>
              <w:left w:val="single" w:sz="8" w:color="auto"/>
            </w:tcBorders>
          </w:tcPr>
          <w:p>
            <w:pPr>
              <w:spacing w:after="0"/>
              <w:rPr>
                <w:sz w:val="23"/>
                <w:szCs w:val="23"/>
                <w:color w:val="auto"/>
              </w:rPr>
            </w:pPr>
          </w:p>
        </w:tc>
        <w:tc>
          <w:tcPr>
            <w:tcW w:w="7140" w:type="dxa"/>
            <w:vAlign w:val="bottom"/>
            <w:shd w:val="clear" w:color="auto" w:fill="E5FFFF"/>
          </w:tcPr>
          <w:p>
            <w:pPr>
              <w:ind w:left="20"/>
              <w:spacing w:after="0"/>
              <w:rPr>
                <w:sz w:val="20"/>
                <w:szCs w:val="20"/>
                <w:color w:val="auto"/>
              </w:rPr>
            </w:pPr>
            <w:r>
              <w:rPr>
                <w:rFonts w:ascii="Arial" w:cs="Arial" w:eastAsia="Arial" w:hAnsi="Arial"/>
                <w:sz w:val="19"/>
                <w:szCs w:val="19"/>
                <w:color w:val="auto"/>
              </w:rPr>
              <w:t>Three-year average return-on-invested-capital</w:t>
            </w:r>
          </w:p>
        </w:tc>
        <w:tc>
          <w:tcPr>
            <w:tcW w:w="800" w:type="dxa"/>
            <w:vAlign w:val="bottom"/>
            <w:shd w:val="clear" w:color="auto" w:fill="E5FFFF"/>
          </w:tcPr>
          <w:p>
            <w:pPr>
              <w:jc w:val="right"/>
              <w:ind w:right="32"/>
              <w:spacing w:after="0"/>
              <w:rPr>
                <w:sz w:val="20"/>
                <w:szCs w:val="20"/>
                <w:color w:val="auto"/>
              </w:rPr>
            </w:pPr>
            <w:r>
              <w:rPr>
                <w:rFonts w:ascii="Arial" w:cs="Arial" w:eastAsia="Arial" w:hAnsi="Arial"/>
                <w:sz w:val="19"/>
                <w:szCs w:val="19"/>
                <w:color w:val="auto"/>
              </w:rPr>
              <w:t>9.2 %</w:t>
            </w:r>
          </w:p>
        </w:tc>
        <w:tc>
          <w:tcPr>
            <w:tcW w:w="1060" w:type="dxa"/>
            <w:vAlign w:val="bottom"/>
            <w:gridSpan w:val="2"/>
            <w:shd w:val="clear" w:color="auto" w:fill="E5FFFF"/>
          </w:tcPr>
          <w:p>
            <w:pPr>
              <w:ind w:left="460"/>
              <w:spacing w:after="0"/>
              <w:rPr>
                <w:sz w:val="20"/>
                <w:szCs w:val="20"/>
                <w:color w:val="auto"/>
              </w:rPr>
            </w:pPr>
            <w:r>
              <w:rPr>
                <w:rFonts w:ascii="Arial" w:cs="Arial" w:eastAsia="Arial" w:hAnsi="Arial"/>
                <w:sz w:val="19"/>
                <w:szCs w:val="19"/>
                <w:color w:val="auto"/>
                <w:w w:val="97"/>
              </w:rPr>
              <w:t>10.9 %</w:t>
            </w:r>
          </w:p>
        </w:tc>
        <w:tc>
          <w:tcPr>
            <w:tcW w:w="114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12.5 %</w:t>
            </w:r>
          </w:p>
        </w:tc>
        <w:tc>
          <w:tcPr>
            <w:tcW w:w="760" w:type="dxa"/>
            <w:vAlign w:val="bottom"/>
            <w:tcBorders>
              <w:right w:val="single" w:sz="8" w:color="auto"/>
            </w:tcBorders>
          </w:tcPr>
          <w:p>
            <w:pPr>
              <w:spacing w:after="0"/>
              <w:rPr>
                <w:sz w:val="23"/>
                <w:szCs w:val="23"/>
                <w:color w:val="auto"/>
              </w:rPr>
            </w:pPr>
          </w:p>
        </w:tc>
      </w:tr>
      <w:tr>
        <w:trPr>
          <w:trHeight w:val="213"/>
        </w:trPr>
        <w:tc>
          <w:tcPr>
            <w:tcW w:w="520" w:type="dxa"/>
            <w:vAlign w:val="bottom"/>
            <w:tcBorders>
              <w:left w:val="single" w:sz="8" w:color="auto"/>
              <w:bottom w:val="single" w:sz="8" w:color="auto"/>
            </w:tcBorders>
          </w:tcPr>
          <w:p>
            <w:pPr>
              <w:spacing w:after="0"/>
              <w:rPr>
                <w:sz w:val="18"/>
                <w:szCs w:val="18"/>
                <w:color w:val="auto"/>
              </w:rPr>
            </w:pPr>
          </w:p>
        </w:tc>
        <w:tc>
          <w:tcPr>
            <w:tcW w:w="7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ind w:right="600" w:firstLine="357"/>
        <w:spacing w:after="0" w:line="312" w:lineRule="auto"/>
        <w:rPr>
          <w:sz w:val="20"/>
          <w:szCs w:val="20"/>
          <w:color w:val="auto"/>
        </w:rPr>
      </w:pPr>
      <w:r>
        <w:rPr>
          <w:rFonts w:ascii="Arial" w:cs="Arial" w:eastAsia="Arial" w:hAnsi="Arial"/>
          <w:sz w:val="18"/>
          <w:szCs w:val="18"/>
          <w:color w:val="auto"/>
        </w:rPr>
        <w:t>As the Company did not achieve the threshold level of return-on-invested capital for the performance period, we did not pay long-term bonuses to the participants in the Long-Term Plan, including the named executive officers, for the 2005-2007 performance period.</w:t>
      </w:r>
    </w:p>
    <w:p>
      <w:pPr>
        <w:spacing w:after="0" w:line="29"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We do not have a formal policy with regard to the adjustment or recovery of bonus payments if it is determined, at a future date, that the relevant performance measures upon which the payments are based are restated or adjusted. We have not had this situation arise, and if it were to arise, we would expect to make an evaluation at that time based upon the circumstances and the role of each individual executive in the events that gave rise to the restatement or adjustment.</w:t>
      </w:r>
    </w:p>
    <w:p>
      <w:pPr>
        <w:spacing w:after="0" w:line="72" w:lineRule="exact"/>
        <w:rPr>
          <w:sz w:val="20"/>
          <w:szCs w:val="20"/>
          <w:color w:val="auto"/>
        </w:rPr>
      </w:pPr>
    </w:p>
    <w:p>
      <w:pPr>
        <w:ind w:right="20" w:firstLine="357"/>
        <w:spacing w:after="0" w:line="271" w:lineRule="auto"/>
        <w:rPr>
          <w:sz w:val="20"/>
          <w:szCs w:val="20"/>
          <w:color w:val="auto"/>
        </w:rPr>
      </w:pPr>
      <w:r>
        <w:rPr>
          <w:rFonts w:ascii="Arial" w:cs="Arial" w:eastAsia="Arial" w:hAnsi="Arial"/>
          <w:sz w:val="18"/>
          <w:szCs w:val="18"/>
          <w:color w:val="auto"/>
        </w:rPr>
        <w:t>Under normal circumstances, the Compensation Committee has no discretion to increase annual or long-term bonus payments, which are formula-driven based upon company performance, and our program for the named executive officers does not provide for discretionary adjustments based upon individual performance. The Compensation Committee has not adjusted, either upward or downward, any of the annual or long-term bonus payments to the named executive officers shown in the summary compensation table from pay-outs calculated based upon the applicable formula. The Committee has limited authority when determining bonus payments, consistent with Section 162(m) of the Internal Revenue Code, to disregard certain events that it determines to be unusual or non-recurring. When establishing the targets, the Committee normally specifies certain items that it considers to be unusual or non-recurring, and these events, if they occur, are automatically excluded when calculating payments. For example, in recent years targets have excluded the effect of acquisitions or dispositions, any non-cash impairment charges under Financial Accounting Standard No. 144, and changes in accounting and tax rules.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8" w:name="page29"/>
    <w:bookmarkEnd w:id="28"/>
    <w:p>
      <w:pPr>
        <w:spacing w:after="0"/>
        <w:rPr>
          <w:sz w:val="20"/>
          <w:szCs w:val="20"/>
          <w:color w:val="auto"/>
        </w:rPr>
      </w:pPr>
      <w:r>
        <w:rPr>
          <w:rFonts w:ascii="Arial" w:cs="Arial" w:eastAsia="Arial" w:hAnsi="Arial"/>
          <w:sz w:val="19"/>
          <w:szCs w:val="19"/>
          <w:b w:val="1"/>
          <w:bCs w:val="1"/>
          <w:i w:val="1"/>
          <w:iCs w:val="1"/>
          <w:color w:val="auto"/>
        </w:rPr>
        <w:t>Long-Term Equity-Based Awards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i w:val="1"/>
          <w:iCs w:val="1"/>
          <w:color w:val="auto"/>
        </w:rPr>
        <w:t>Stock Options</w:t>
      </w:r>
    </w:p>
    <w:p>
      <w:pPr>
        <w:spacing w:after="0" w:line="125" w:lineRule="exact"/>
        <w:rPr>
          <w:sz w:val="20"/>
          <w:szCs w:val="20"/>
          <w:color w:val="auto"/>
        </w:rPr>
      </w:pPr>
    </w:p>
    <w:p>
      <w:pPr>
        <w:ind w:right="60" w:firstLine="357"/>
        <w:spacing w:after="0" w:line="290" w:lineRule="auto"/>
        <w:rPr>
          <w:sz w:val="20"/>
          <w:szCs w:val="20"/>
          <w:color w:val="auto"/>
        </w:rPr>
      </w:pPr>
      <w:r>
        <w:rPr>
          <w:rFonts w:ascii="Arial" w:cs="Arial" w:eastAsia="Arial" w:hAnsi="Arial"/>
          <w:sz w:val="17"/>
          <w:szCs w:val="17"/>
          <w:color w:val="auto"/>
        </w:rPr>
        <w:t>We make stock option awards to our named executive officers in order to strengthen the tie between an officer’s compensation opportunity and the shareholders’ interest in increasing the value of our common stock. Until the organizational meeting of the Board of Directors following the 2007 Annual Meeting, equity-based awards, including stock option awards, were the responsibility of the Compensation Committee’s Stock Option Plan Subcommittee, which was composed entirely of independent directors. Since then, equity-based awards have been the responsibility of the Compensation Committee, which is also composed entirely of independent directors. The annual stock option and restricted stock awards for 2007 were made in March 2007 and were made by the Stock Option Plan Subcommittee. For ease of understanding, in the discussion that follows, we will refer to the Compensation Committee having certain responsibilities or taking certain actions with regard to equity-based awards. Prior to May 30, 2007, however, those responsibilities were vested in, and actions taken by, the Subcommittee.</w:t>
      </w:r>
    </w:p>
    <w:p>
      <w:pPr>
        <w:spacing w:after="0" w:line="55"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Stock option awards of the same size are normally made each year to executives holding comparable positions. The Compensation Committee awards stock options with exercise prices equal to the fair market value of our stock on the date of grant. Since the approval of the 2007 Stock Incentive Plan by shareholders at the 2007 Annual Meeting, all future stock awards will be made under that plan. Under the 2007 Plan, fair market value is defined as the closing price on the grant date. Awards made prior to the date of the 2007 Annual Meeting, including the annual stock option awards for 2007, were made under prior plans, which defined fair market value of the shares as the average of the high and low prices of our stock on the New York Stock Exchange on the grant date. The Compensation Committee has not granted options with an exercise price of less than the fair market value on the grant date, as defined in the relevant plans. Options normally vest at the rate of one-third of the total grant per year over the first three years of the ten-year option term, subject to accelerated vesting in certain circumstances. The Compensation Committee does not normally consider an executive’s gains from prior stock awards in making new awards.</w:t>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b w:val="1"/>
          <w:bCs w:val="1"/>
          <w:i w:val="1"/>
          <w:iCs w:val="1"/>
          <w:color w:val="auto"/>
        </w:rPr>
        <w:t>Restricted Stock Awards</w:t>
      </w:r>
    </w:p>
    <w:p>
      <w:pPr>
        <w:spacing w:after="0" w:line="12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We make restricted stock awards to our named executive officers in order to strengthen the tie between an officer’s compensation opportunity and the shareholders’ interest in increasing the value of our common stock, to provide our executives with an opportunity to increase their equity ownership, and to ensure the retention of key executives.</w:t>
      </w:r>
    </w:p>
    <w:p>
      <w:pPr>
        <w:spacing w:after="0" w:line="68" w:lineRule="exact"/>
        <w:rPr>
          <w:sz w:val="20"/>
          <w:szCs w:val="20"/>
          <w:color w:val="auto"/>
        </w:rPr>
      </w:pPr>
    </w:p>
    <w:p>
      <w:pPr>
        <w:ind w:right="60" w:firstLine="357"/>
        <w:spacing w:after="0" w:line="273" w:lineRule="auto"/>
        <w:rPr>
          <w:sz w:val="20"/>
          <w:szCs w:val="20"/>
          <w:color w:val="auto"/>
        </w:rPr>
      </w:pPr>
      <w:r>
        <w:rPr>
          <w:rFonts w:ascii="Arial" w:cs="Arial" w:eastAsia="Arial" w:hAnsi="Arial"/>
          <w:sz w:val="18"/>
          <w:szCs w:val="18"/>
          <w:color w:val="auto"/>
        </w:rPr>
        <w:t>In recent years, the Compensation Committee has made annual grants of restricted stock to the Company’s three most-senior executives—the Chief Executive Officer, the President-U.S.A., and the President-International. With regard to other executives, including the other named executive officers, it has made grants from time to time to individually selected executives in order to recognize outstanding past performance, to recognize an executive’s expected ability to contribute to the Company’s performance in the future, or for retention. When making restricted stock awards for retention purposes, the Compensation Committee considers an executive’s prior awards and their vesting schedule. The restrictions on restricted stock normally lapse a specified period following the grant date (normally three years). The holders of restricted stock receive dividends on their restricted shares at the time the dividends are paid.</w:t>
      </w:r>
    </w:p>
    <w:p>
      <w:pPr>
        <w:spacing w:after="0" w:line="67" w:lineRule="exact"/>
        <w:rPr>
          <w:sz w:val="20"/>
          <w:szCs w:val="20"/>
          <w:color w:val="auto"/>
        </w:rPr>
      </w:pPr>
    </w:p>
    <w:p>
      <w:pPr>
        <w:ind w:right="720" w:firstLine="357"/>
        <w:spacing w:after="0" w:line="283" w:lineRule="auto"/>
        <w:rPr>
          <w:sz w:val="20"/>
          <w:szCs w:val="20"/>
          <w:color w:val="auto"/>
        </w:rPr>
      </w:pPr>
      <w:r>
        <w:rPr>
          <w:rFonts w:ascii="Arial" w:cs="Arial" w:eastAsia="Arial" w:hAnsi="Arial"/>
          <w:sz w:val="19"/>
          <w:szCs w:val="19"/>
          <w:color w:val="auto"/>
        </w:rPr>
        <w:t>In 2007, after reviewing the vesting schedule of prior awards held by the named executive officers, the Subcommittee made grants of restricted stock to all of the named executive officers.</w:t>
      </w:r>
    </w:p>
    <w:p>
      <w:pPr>
        <w:spacing w:after="0" w:line="24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b w:val="1"/>
          <w:bCs w:val="1"/>
          <w:i w:val="1"/>
          <w:iCs w:val="1"/>
          <w:color w:val="auto"/>
        </w:rPr>
        <w:t>Stock Ownership Guidelines</w:t>
      </w:r>
    </w:p>
    <w:p>
      <w:pPr>
        <w:spacing w:after="0" w:line="12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We have adopted stock ownership guidelines for our directors and senior executives, including the named executive officers. These guidelines require that the Chief Executive Officer own shares having a value at least equal to four times his base salary and that the other named executive officers own shares having a value at least equal to two times base salary. In determining whether an executive meets the guidelines, we consider owned shares and restricted stock, but we do not consider stock options. As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 w:name="page30"/>
    <w:bookmarkEnd w:id="29"/>
    <w:p>
      <w:pPr>
        <w:jc w:val="both"/>
        <w:ind w:right="40"/>
        <w:spacing w:after="0" w:line="302" w:lineRule="auto"/>
        <w:rPr>
          <w:sz w:val="20"/>
          <w:szCs w:val="20"/>
          <w:color w:val="auto"/>
        </w:rPr>
      </w:pPr>
      <w:r>
        <w:rPr>
          <w:rFonts w:ascii="Arial" w:cs="Arial" w:eastAsia="Arial" w:hAnsi="Arial"/>
          <w:sz w:val="17"/>
          <w:szCs w:val="17"/>
          <w:color w:val="auto"/>
        </w:rPr>
        <w:t>the end of 2007, all of the named executive officers met these stock ownership guidelines. We do not permit our executive officers to take short or long positions in our shares; however, we do not otherwise have a formal policy with regard to executive officers hedging their economic interest in company stock or options. To our knowledge, none of the named executive officers hedged their position in our shares or options during 2007, although some of the named executive officers may hold their shares in accounts that permit margin loans to the executive.</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Retirement and Other Benefits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i w:val="1"/>
          <w:iCs w:val="1"/>
          <w:color w:val="auto"/>
        </w:rPr>
        <w:t>Retirement Plan and Excess Cash Balance Plan</w:t>
      </w:r>
    </w:p>
    <w:p>
      <w:pPr>
        <w:spacing w:after="0" w:line="125"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All United States-based associates of the Company who meet the eligibility requirements are participants in the Foot Locker Retirement Plan. The Retirement Plan and the method of calculating benefits payable under it are described on Page 49. All of the named executive officers are participants in the Retirement Plan. The Internal Revenue Code limits the amount of compensation that may be taken into consideration in determining an individual’s retirement benefits. Therefore, those participants in the Retirement Plan, including the named executive officers, whose compensation exceeds the Internal Revenue Service limits are also participants in the Excess Cash Balance Plan, described on Page 49, which pays the difference between the amount a participant receives from the Retirement Plan and the amount the participant would have received were it not for the Internal Revenue Service limits.</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b w:val="1"/>
          <w:bCs w:val="1"/>
          <w:i w:val="1"/>
          <w:iCs w:val="1"/>
          <w:color w:val="auto"/>
        </w:rPr>
        <w:t>401(k) Plan</w:t>
      </w:r>
    </w:p>
    <w:p>
      <w:pPr>
        <w:spacing w:after="0" w:line="125" w:lineRule="exact"/>
        <w:rPr>
          <w:sz w:val="20"/>
          <w:szCs w:val="20"/>
          <w:color w:val="auto"/>
        </w:rPr>
      </w:pPr>
    </w:p>
    <w:p>
      <w:pPr>
        <w:ind w:right="160" w:firstLine="357"/>
        <w:spacing w:after="0" w:line="277" w:lineRule="auto"/>
        <w:rPr>
          <w:sz w:val="20"/>
          <w:szCs w:val="20"/>
          <w:color w:val="auto"/>
        </w:rPr>
      </w:pPr>
      <w:r>
        <w:rPr>
          <w:rFonts w:ascii="Arial" w:cs="Arial" w:eastAsia="Arial" w:hAnsi="Arial"/>
          <w:sz w:val="18"/>
          <w:szCs w:val="18"/>
          <w:color w:val="auto"/>
        </w:rPr>
        <w:t>The Company maintains a 401(k) Plan for its eligible U.S. associates, and all of the named executive officers participate in it. The Plan permits participants to contribute the lesser of 40 percent of eligible compensation or the limit prescribed by the Internal Revenue Service to the 401(k) Plan on a before-tax basis. The Company will match 25 percent of the first 4 percent of pay that is contributed to the 401(k) Plan, and the Summary Compensation Table on Page 29 includes, in All Other Compensation, the amount of the company-match for each of the named executive officers. The company match is made in shares of Company stock, valued on the last trading day of the plan year.</w:t>
      </w:r>
    </w:p>
    <w:p>
      <w:pPr>
        <w:spacing w:after="0" w:line="27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b w:val="1"/>
          <w:bCs w:val="1"/>
          <w:i w:val="1"/>
          <w:iCs w:val="1"/>
          <w:color w:val="auto"/>
        </w:rPr>
        <w:t>Supplemental Executive Retirement Plan</w:t>
      </w:r>
    </w:p>
    <w:p>
      <w:pPr>
        <w:spacing w:after="0" w:line="125" w:lineRule="exact"/>
        <w:rPr>
          <w:sz w:val="20"/>
          <w:szCs w:val="20"/>
          <w:color w:val="auto"/>
        </w:rPr>
      </w:pPr>
    </w:p>
    <w:p>
      <w:pPr>
        <w:ind w:right="20" w:firstLine="357"/>
        <w:spacing w:after="0" w:line="272" w:lineRule="auto"/>
        <w:rPr>
          <w:sz w:val="20"/>
          <w:szCs w:val="20"/>
          <w:color w:val="auto"/>
        </w:rPr>
      </w:pPr>
      <w:r>
        <w:rPr>
          <w:rFonts w:ascii="Arial" w:cs="Arial" w:eastAsia="Arial" w:hAnsi="Arial"/>
          <w:sz w:val="18"/>
          <w:szCs w:val="18"/>
          <w:color w:val="auto"/>
        </w:rPr>
        <w:t>The Company maintains a Supplemental Executive Retirement Plan, described on Page 50, for certain senior officers of the Company and other key employees, including the named executive officers. The Supplemental Plan is an unfunded plan administered by the Compensation Committee, which sets an annual targeted incentive award for each participant consisting of a percentage of salary and annual bonus based on the company’s performance against target. Contributions may range from 4 percent to 12 percent of salary and annual bonus, depending on the company’s performance against the established target, with an 8 percent contribution being made for target performance. The target established by the Compensation Committee under the Supplemental Plan is normally the same as the target performance under the annual bonus plan. Participant accounts accrue simple interest at the rate of 6 percent annually. The Supplemental Plan also provides for the continuation of medical insurance benefits to vested participants following their retirement.</w:t>
      </w:r>
    </w:p>
    <w:p>
      <w:pPr>
        <w:spacing w:after="0" w:line="68" w:lineRule="exact"/>
        <w:rPr>
          <w:sz w:val="20"/>
          <w:szCs w:val="20"/>
          <w:color w:val="auto"/>
        </w:rPr>
      </w:pPr>
    </w:p>
    <w:p>
      <w:pPr>
        <w:ind w:right="40" w:firstLine="357"/>
        <w:spacing w:after="0" w:line="281" w:lineRule="auto"/>
        <w:rPr>
          <w:sz w:val="20"/>
          <w:szCs w:val="20"/>
          <w:color w:val="auto"/>
        </w:rPr>
      </w:pPr>
      <w:r>
        <w:rPr>
          <w:rFonts w:ascii="Arial" w:cs="Arial" w:eastAsia="Arial" w:hAnsi="Arial"/>
          <w:sz w:val="18"/>
          <w:szCs w:val="18"/>
          <w:color w:val="auto"/>
        </w:rPr>
        <w:t>Based upon the Company’s performance in 2007, a credit of 4 percent of 2007 base salary was made to the Supplemental Plan for each of the named executive officers. As of the end of 2007, the account balances of the named executive officers ranged from $50,341 for Mr. McHugh to $2,256,933 for Mr. Serra. Under the terms of the Supplemental Plan, executives are vested in their account balances based upon a combination of age and service, and of the named executive officers, Messrs. Serra, Mina, and Bahler are currently vested.</w:t>
      </w:r>
    </w:p>
    <w:p>
      <w:pPr>
        <w:spacing w:after="0" w:line="44" w:lineRule="exact"/>
        <w:rPr>
          <w:sz w:val="20"/>
          <w:szCs w:val="20"/>
          <w:color w:val="auto"/>
        </w:rPr>
      </w:pPr>
    </w:p>
    <w:p>
      <w:pPr>
        <w:ind w:right="180" w:firstLine="357"/>
        <w:spacing w:after="0" w:line="267" w:lineRule="auto"/>
        <w:rPr>
          <w:sz w:val="20"/>
          <w:szCs w:val="20"/>
          <w:color w:val="auto"/>
        </w:rPr>
      </w:pPr>
      <w:r>
        <w:rPr>
          <w:rFonts w:ascii="Arial" w:cs="Arial" w:eastAsia="Arial" w:hAnsi="Arial"/>
          <w:sz w:val="19"/>
          <w:szCs w:val="19"/>
          <w:color w:val="auto"/>
        </w:rPr>
        <w:t>The Retirement Plan takes into account only base salary and annual bonus in determining pension benefits. Credits to our Supplemental Executive Retirement Plan are based only on base salary and annual bonus. Therefore, stock awards have no effect on the calculation of pension payments.</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30" w:name="page31"/>
    <w:bookmarkEnd w:id="30"/>
    <w:p>
      <w:pPr>
        <w:spacing w:after="0"/>
        <w:rPr>
          <w:sz w:val="20"/>
          <w:szCs w:val="20"/>
          <w:color w:val="auto"/>
        </w:rPr>
      </w:pPr>
      <w:r>
        <w:rPr>
          <w:rFonts w:ascii="Arial" w:cs="Arial" w:eastAsia="Arial" w:hAnsi="Arial"/>
          <w:sz w:val="19"/>
          <w:szCs w:val="19"/>
          <w:b w:val="1"/>
          <w:bCs w:val="1"/>
          <w:i w:val="1"/>
          <w:iCs w:val="1"/>
          <w:color w:val="auto"/>
        </w:rPr>
        <w:t>Perquisites</w:t>
      </w:r>
    </w:p>
    <w:p>
      <w:pPr>
        <w:spacing w:after="0" w:line="119"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We provide the named executive officers with certain perquisites, which the Compensation Committee believes are reasonable and consistent with its overall objective of attracting and retaining talented retail industry executives. The Company provides the named executive officers with an automobile allowance, financial planning, medical expense reimbursement, annual physical, supplemental long-term disability insurance, and life insurance. In addition, the Company provides Mr. Serra with a driver and reimburses Mr. Halls for a limited amount of travel expenses of his spouse when she accompanies him on business trips. Given Mr. Halls’s responsibility for our international businesses and the amount of time he spends traveling outside the United States on company business, we consider this to be a reasonable perquisite uniquely applicable to his situation and responsibilities.</w:t>
      </w:r>
    </w:p>
    <w:p>
      <w:pPr>
        <w:spacing w:after="0" w:line="288" w:lineRule="exact"/>
        <w:rPr>
          <w:sz w:val="20"/>
          <w:szCs w:val="20"/>
          <w:color w:val="auto"/>
        </w:rPr>
      </w:pPr>
    </w:p>
    <w:p>
      <w:pPr>
        <w:ind w:right="680"/>
        <w:spacing w:after="0" w:line="289" w:lineRule="auto"/>
        <w:rPr>
          <w:sz w:val="20"/>
          <w:szCs w:val="20"/>
          <w:color w:val="auto"/>
        </w:rPr>
      </w:pPr>
      <w:r>
        <w:rPr>
          <w:rFonts w:ascii="Arial" w:cs="Arial" w:eastAsia="Arial" w:hAnsi="Arial"/>
          <w:sz w:val="19"/>
          <w:szCs w:val="19"/>
          <w:b w:val="1"/>
          <w:bCs w:val="1"/>
          <w:color w:val="auto"/>
        </w:rPr>
        <w:t>How does each element of compensation fit into our overall compensation objectives? How does each element affect our decisions regarding other elements?</w:t>
      </w:r>
    </w:p>
    <w:p>
      <w:pPr>
        <w:spacing w:after="0" w:line="47" w:lineRule="exact"/>
        <w:rPr>
          <w:sz w:val="20"/>
          <w:szCs w:val="20"/>
          <w:color w:val="auto"/>
        </w:rPr>
      </w:pPr>
    </w:p>
    <w:p>
      <w:pPr>
        <w:ind w:right="380" w:firstLine="357"/>
        <w:spacing w:after="0" w:line="312" w:lineRule="auto"/>
        <w:rPr>
          <w:sz w:val="20"/>
          <w:szCs w:val="20"/>
          <w:color w:val="auto"/>
        </w:rPr>
      </w:pPr>
      <w:r>
        <w:rPr>
          <w:rFonts w:ascii="Arial" w:cs="Arial" w:eastAsia="Arial" w:hAnsi="Arial"/>
          <w:sz w:val="18"/>
          <w:szCs w:val="18"/>
          <w:color w:val="auto"/>
        </w:rPr>
        <w:t>As stated at the beginning of this discussion and analysis, the objectives of our compensation program are to attract, motivate, and retain talented retail industry executives in order to maintain and enhance the Company’s performance and its return to shareholders.</w:t>
      </w:r>
    </w:p>
    <w:p>
      <w:pPr>
        <w:spacing w:after="0" w:line="83" w:lineRule="exact"/>
        <w:rPr>
          <w:sz w:val="20"/>
          <w:szCs w:val="20"/>
          <w:color w:val="auto"/>
        </w:rPr>
      </w:pPr>
    </w:p>
    <w:p>
      <w:pPr>
        <w:ind w:left="540" w:right="340" w:hanging="15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Base salaries fit into these compensation objectives by attracting and retaining talented retail company executives by paying them base salaries commensurate with their position, experience and responsibilities.</w:t>
      </w:r>
    </w:p>
    <w:p>
      <w:pPr>
        <w:spacing w:after="0" w:line="65" w:lineRule="exact"/>
        <w:rPr>
          <w:rFonts w:ascii="Arial" w:cs="Arial" w:eastAsia="Arial" w:hAnsi="Arial"/>
          <w:sz w:val="19"/>
          <w:szCs w:val="19"/>
          <w:color w:val="auto"/>
        </w:rPr>
      </w:pPr>
    </w:p>
    <w:p>
      <w:pPr>
        <w:ind w:left="540" w:right="920" w:hanging="158"/>
        <w:spacing w:after="0" w:line="283"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performance-based annual and long-term cash bonus plans are designed to reward executives for enhancing the company’s performance through the achievement of performance targets.</w:t>
      </w:r>
    </w:p>
    <w:p>
      <w:pPr>
        <w:spacing w:after="0" w:line="65" w:lineRule="exact"/>
        <w:rPr>
          <w:rFonts w:ascii="Arial" w:cs="Arial" w:eastAsia="Arial" w:hAnsi="Arial"/>
          <w:sz w:val="19"/>
          <w:szCs w:val="19"/>
          <w:color w:val="auto"/>
        </w:rPr>
      </w:pPr>
    </w:p>
    <w:p>
      <w:pPr>
        <w:ind w:left="540" w:right="440" w:hanging="158"/>
        <w:spacing w:after="0" w:line="344"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Long-term equity-based awards (stock options and restricted stock) are designed to reward executives for increasing our return to our shareholders through increases in our stock price, and restricted stock awards may, in addition, serve to help retain key executives.</w:t>
      </w:r>
    </w:p>
    <w:p>
      <w:pPr>
        <w:spacing w:after="0" w:line="115"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Base salaries of named executive officers rarely change materially from year-to-year unless there has been a change in responsibility or other special factors apply. As discussed above, the Compensation Committee increased the annual bonus target payment for the named executive officers other than Mr. Serra for 2007. Long-term bonus target payments, as a percentage of base salary, have been consistent based upon position during the prior three-year period. Mr. Serra’s target bonus payments were the subject of negotiation between him and the company and are specified in his employment agreement. In determining total compensation, stock options are valued by the Committee’s outside compensation consultant using the Black-Scholes model. Restricted stock awards are valued based upon the share price at the time of grant.</w:t>
      </w: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Compensation Committee Procedure</w:t>
      </w:r>
    </w:p>
    <w:p>
      <w:pPr>
        <w:spacing w:after="0" w:line="119"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The Compensation Committee held two scheduled meetings in 2007 for the purpose of considering executive compensation. At the first meeting, held in February, the Committee reviewed a report from its outside compensation consultant on the company’s executive compensation program, general executive compensation trends, trends in the retail industry, and specific background information on each senior management position.</w:t>
      </w:r>
    </w:p>
    <w:p>
      <w:pPr>
        <w:spacing w:after="0" w:line="72" w:lineRule="exact"/>
        <w:rPr>
          <w:sz w:val="20"/>
          <w:szCs w:val="20"/>
          <w:color w:val="auto"/>
        </w:rPr>
      </w:pPr>
    </w:p>
    <w:p>
      <w:pPr>
        <w:ind w:right="100" w:firstLine="357"/>
        <w:spacing w:after="0" w:line="256" w:lineRule="auto"/>
        <w:rPr>
          <w:sz w:val="20"/>
          <w:szCs w:val="20"/>
          <w:color w:val="auto"/>
        </w:rPr>
      </w:pPr>
      <w:r>
        <w:rPr>
          <w:rFonts w:ascii="Arial" w:cs="Arial" w:eastAsia="Arial" w:hAnsi="Arial"/>
          <w:sz w:val="19"/>
          <w:szCs w:val="19"/>
          <w:color w:val="auto"/>
        </w:rPr>
        <w:t>Based upon the material reviewed and the discussion of the Committee at this meeting, our Sr. Vice President—Human Resources working with our Chairman of the Board and Chief Executive Officer then prepared compensation recommendations to the Committee, covering all elements of compensation, for all corporate officers and heads of our operating divisions, other than the Chief Executive Officer himself. The Sr. Vice President—Human Resources and the Sr. Vice President and General Counsel then met with the Chair of the Compensation Committee to review these recommendations. The Chairman of the Board and Chief Executive Officer participated in a portion of this meeting. Based upon input from the Chair of the Compensation Committee, the Human Resources Department then finalized these recommendations, including a recommendation for compensation for the Chairman of the Board and Chief Executive Officer, and prepared material for review by the Compensation Committee.</w:t>
      </w:r>
    </w:p>
    <w:p>
      <w:pPr>
        <w:spacing w:after="0" w:line="8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6" w:right="319" w:bottom="1440" w:gutter="0" w:footer="0" w:header="0"/>
        </w:sectPr>
      </w:pPr>
    </w:p>
    <w:bookmarkStart w:id="31" w:name="page32"/>
    <w:bookmarkEnd w:id="31"/>
    <w:p>
      <w:pPr>
        <w:ind w:right="120" w:firstLine="357"/>
        <w:spacing w:after="0" w:line="273" w:lineRule="auto"/>
        <w:rPr>
          <w:sz w:val="20"/>
          <w:szCs w:val="20"/>
          <w:color w:val="auto"/>
        </w:rPr>
      </w:pPr>
      <w:r>
        <w:rPr>
          <w:rFonts w:ascii="Arial" w:cs="Arial" w:eastAsia="Arial" w:hAnsi="Arial"/>
          <w:sz w:val="18"/>
          <w:szCs w:val="18"/>
          <w:color w:val="auto"/>
        </w:rPr>
        <w:t>The Compensation Committee and the Stock Option Plan Subcommittee then held a second regularly scheduled meeting in late March to consider these recommendations and set compensation for the company’s executives. At this meeting, the Committee reviewed a tally sheet that set out all elements of proposed compensation for each of the company’s senior executives, including the named executive officers, in order to assist in its evaluation of the compensation proposals for 2007. At this meeting, the Compensation Committee also reviewed separate tally sheets for a representative sample of senior executives, including two of the named executive officers, that summarized payments that the executives would receive if their employment with the Company were terminated under various circumstances in order to confirm the Committee’s understanding of the Company’s severance arrangements with its senior executives.</w:t>
      </w:r>
    </w:p>
    <w:p>
      <w:pPr>
        <w:spacing w:after="0" w:line="175"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Except in the case of promotions or other unusual circumstances, the Compensation Committee considers stock awards only at this meeting, which is normally held within a few weeks following the issuance of the Company’s full-year earnings release for the prior year. It is also at this meeting that the Compensation Committee determined whether performance targets under the Annual Bonus Plan for the prior year and under the Long-Term Incentive Compensation Plan that ended in the prior year had been achieved; determined the amount of annual and long-term bonus pay-outs; adjusted base salaries for the upcoming year, and established targets under the Annual and Long-Term Plans for the upcoming year and three-year performance period.</w:t>
      </w:r>
    </w:p>
    <w:p>
      <w:pPr>
        <w:spacing w:after="0" w:line="76"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In 2007, the Subcommittee made all stock option and restricted stock awards to the named executive officers at its regularly scheduled meeting in March 2007. The Compensation Committee has delegated authority to its Chair to approve stock option awards of up to 25,000 shares to any single individual other than a corporate officer. The Chair generally uses this authority to approve stock option grants made during the course of the year in connection with promotions or new hires. In 2007, the Chair used this authority to approve grants of options to four executives, none of whom was a named executive officer, to purchase a total of 68,000 shares. Those options are priced at fair market value on the date the Chair signs the approval. Neither the Compensation Committee nor its Chair has delegated authority to management to make stock option or restricted stock awards.</w:t>
      </w:r>
    </w:p>
    <w:p>
      <w:pPr>
        <w:spacing w:after="0" w:line="77"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The Compensation Committee directly retains Mercer as its consultant on executive compensation matters. In addition to advising the Committee, other consultants and employees within Mercer provide U.S. and Canadian pension administration services to the company</w:t>
      </w:r>
      <w:r>
        <w:rPr>
          <w:rFonts w:ascii="Arial" w:cs="Arial" w:eastAsia="Arial" w:hAnsi="Arial"/>
          <w:sz w:val="18"/>
          <w:szCs w:val="18"/>
          <w:b w:val="1"/>
          <w:bCs w:val="1"/>
          <w:color w:val="auto"/>
        </w:rPr>
        <w:t>,</w:t>
      </w:r>
      <w:r>
        <w:rPr>
          <w:rFonts w:ascii="Arial" w:cs="Arial" w:eastAsia="Arial" w:hAnsi="Arial"/>
          <w:sz w:val="18"/>
          <w:szCs w:val="18"/>
          <w:color w:val="auto"/>
        </w:rPr>
        <w:t xml:space="preserve"> and in 2007 fees paid to Mercer for advising the Committee represented approximately 9 percent of total fees paid to Mercer. In preparing its material for the Compensation Committee, Mercer consults with the Company’s Chairman of the Board and Chief Executive Officer, Sr. Vice President— Human Resources, Sr. Vice President and General Counsel, and Vice President—Human Resources.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Executive Employment Agreements</w:t>
      </w:r>
    </w:p>
    <w:p>
      <w:pPr>
        <w:spacing w:after="0" w:line="119"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As more fully described on Pages 36 to 38, we have employment agreements with each of our named executive officers. In this discussion and analysis, as well as elsewhere in this proxy statement, we refer to employment agreements we had in place with our named executive officers during 2007, which continue to be in place on the date of this proxy statement. During the course of 2008, we expect to enter into new or amended agreements with our named executive officers in order to make changes required to comply with Internal Revenue Code Sections 409A and Section 162(m), to make certain provisions consistent in our executive employment agreements, and to make other changes.</w:t>
      </w:r>
    </w:p>
    <w:p>
      <w:pPr>
        <w:spacing w:after="0" w:line="48" w:lineRule="exact"/>
        <w:rPr>
          <w:sz w:val="20"/>
          <w:szCs w:val="20"/>
          <w:color w:val="auto"/>
        </w:rPr>
      </w:pPr>
    </w:p>
    <w:p>
      <w:pPr>
        <w:ind w:right="60" w:firstLine="357"/>
        <w:spacing w:after="0" w:line="313" w:lineRule="auto"/>
        <w:rPr>
          <w:sz w:val="20"/>
          <w:szCs w:val="20"/>
          <w:color w:val="auto"/>
        </w:rPr>
      </w:pPr>
      <w:r>
        <w:rPr>
          <w:rFonts w:ascii="Arial" w:cs="Arial" w:eastAsia="Arial" w:hAnsi="Arial"/>
          <w:sz w:val="17"/>
          <w:szCs w:val="17"/>
          <w:color w:val="auto"/>
        </w:rPr>
        <w:t>Our employment agreements with the named executive officers provide for severance payments to the executive if we terminate the executive’s employment without cause or if we give the executive good reason to terminate employment. These payments to the named executive officers, calculated as if termination of employment occurred at the end of our last fiscal year, are set out in the tables on Pages 39 to 48.</w:t>
      </w:r>
    </w:p>
    <w:p>
      <w:pPr>
        <w:spacing w:after="0" w:line="32" w:lineRule="exact"/>
        <w:rPr>
          <w:sz w:val="20"/>
          <w:szCs w:val="20"/>
          <w:color w:val="auto"/>
        </w:rPr>
      </w:pPr>
    </w:p>
    <w:p>
      <w:pPr>
        <w:ind w:right="180" w:firstLine="357"/>
        <w:spacing w:after="0" w:line="262" w:lineRule="auto"/>
        <w:rPr>
          <w:sz w:val="20"/>
          <w:szCs w:val="20"/>
          <w:color w:val="auto"/>
        </w:rPr>
      </w:pPr>
      <w:r>
        <w:rPr>
          <w:rFonts w:ascii="Arial" w:cs="Arial" w:eastAsia="Arial" w:hAnsi="Arial"/>
          <w:sz w:val="19"/>
          <w:szCs w:val="19"/>
          <w:color w:val="auto"/>
        </w:rPr>
        <w:t>The named executive officers other than Mr. Serra, whose arrangements are discussed in the next paragraph, receive an enhanced severance payment if the executive’s employment is terminated without cause or if the executive terminates employment for good reason within two years following a change in control. For an executive to receive the enhanced severance payment, two events must occur: first, employment must be terminated for one of the specified reasons, and second, this termination must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 w:right="279" w:bottom="1440" w:gutter="0" w:footer="0" w:header="0"/>
        </w:sectPr>
      </w:pPr>
    </w:p>
    <w:bookmarkStart w:id="32" w:name="page33"/>
    <w:bookmarkEnd w:id="32"/>
    <w:p>
      <w:pPr>
        <w:spacing w:after="0" w:line="289" w:lineRule="auto"/>
        <w:rPr>
          <w:sz w:val="20"/>
          <w:szCs w:val="20"/>
          <w:color w:val="auto"/>
        </w:rPr>
      </w:pPr>
      <w:r>
        <w:rPr>
          <w:rFonts w:ascii="Arial" w:cs="Arial" w:eastAsia="Arial" w:hAnsi="Arial"/>
          <w:sz w:val="18"/>
          <w:szCs w:val="18"/>
          <w:color w:val="auto"/>
        </w:rPr>
        <w:t>occur within two years following a change-in-control. We believe that these provisions, which we have had in place for a number of years, provide appropriate protection to our executives, comparable to that available at peer companies, and, with regard to the enhanced severance following a change-in-control, protect us from losing key executives during a period when a change-in-control may be threatened or pending.</w:t>
      </w:r>
    </w:p>
    <w:p>
      <w:pPr>
        <w:spacing w:after="0" w:line="157" w:lineRule="exact"/>
        <w:rPr>
          <w:sz w:val="20"/>
          <w:szCs w:val="20"/>
          <w:color w:val="auto"/>
        </w:rPr>
      </w:pPr>
    </w:p>
    <w:p>
      <w:pPr>
        <w:ind w:right="80" w:firstLine="357"/>
        <w:spacing w:after="0" w:line="257" w:lineRule="auto"/>
        <w:rPr>
          <w:sz w:val="20"/>
          <w:szCs w:val="20"/>
          <w:color w:val="auto"/>
        </w:rPr>
      </w:pPr>
      <w:r>
        <w:rPr>
          <w:rFonts w:ascii="Arial" w:cs="Arial" w:eastAsia="Arial" w:hAnsi="Arial"/>
          <w:sz w:val="19"/>
          <w:szCs w:val="19"/>
          <w:color w:val="auto"/>
        </w:rPr>
        <w:t>Mr. Serra’s employment agreement also provides for an enhanced severance payment if his employment is terminated without cause or if he terminates his employment for good reason within two years following a change in control. In addition, his agreement provides that, following a change-in-control, there is a 30-day period during which Mr. Serra may elect to terminate his employment and receive this enhanced severance payment. We believe that this payment mechanism, which has been in Mr. Serra’s employment agreement since he became our Chief Executive Officer, is comparable to that provided to many chief executive officers of public companies and benefits us, if a potential change-in-control were to arise, by allowing him to focus fully on the best interests of our Company and shareholders while a change-in-control is pending without being distracted by concerns about his personal situation.</w:t>
      </w:r>
    </w:p>
    <w:p>
      <w:pPr>
        <w:spacing w:after="0" w:line="77" w:lineRule="exact"/>
        <w:rPr>
          <w:sz w:val="20"/>
          <w:szCs w:val="20"/>
          <w:color w:val="auto"/>
        </w:rPr>
      </w:pPr>
    </w:p>
    <w:p>
      <w:pPr>
        <w:ind w:right="120" w:firstLine="357"/>
        <w:spacing w:after="0" w:line="267" w:lineRule="auto"/>
        <w:rPr>
          <w:sz w:val="20"/>
          <w:szCs w:val="20"/>
          <w:color w:val="auto"/>
        </w:rPr>
      </w:pPr>
      <w:r>
        <w:rPr>
          <w:rFonts w:ascii="Arial" w:cs="Arial" w:eastAsia="Arial" w:hAnsi="Arial"/>
          <w:sz w:val="19"/>
          <w:szCs w:val="19"/>
          <w:color w:val="auto"/>
        </w:rPr>
        <w:t>Mr. Serra, Mr. Halls, and Mr. Mina have agreed in their employment contracts not to compete with the Company for two years following the termination of employment and not to hire company employees during that same period. Mr. Bahler and Mr. McHugh have agreed to the same restriction for a one-year period. This restriction does not apply following a change-in-control.</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Accounting and Tax Considerations</w:t>
      </w:r>
    </w:p>
    <w:p>
      <w:pPr>
        <w:spacing w:after="0" w:line="119"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While we review both the accounting and tax effects of various components of compensation, these effects are not a significant factor in the Compensation Committee’s allocation of compensation among the different components. In general, it is our position that compensation paid to executive officers should be fully deductible for U.S. tax purposes, and we have structured our bonus and option programs so that payments made under them are deductible. In certain instances, however, we believe that it is in the company’s best interests, and that of its shareholders, to have the flexibility to pay compensation that is not deductible under the limitations of Section 162(m) of the Internal Revenue Code in order to provide a compensation package consistent with our program and objectives. The portion of Mr. Serra’s base salary that exceeds $1,000,000, the value of restricted stock awards made to him, and potentially a portion of the value of restricted stock awards made to the other named executive officers, are not expected to be deductible.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Compensation Committee Report</w:t>
      </w:r>
    </w:p>
    <w:p>
      <w:pPr>
        <w:spacing w:after="0" w:line="112" w:lineRule="exact"/>
        <w:rPr>
          <w:sz w:val="20"/>
          <w:szCs w:val="20"/>
          <w:color w:val="auto"/>
        </w:rPr>
      </w:pPr>
    </w:p>
    <w:p>
      <w:pPr>
        <w:ind w:right="780" w:firstLine="357"/>
        <w:spacing w:after="0" w:line="313" w:lineRule="auto"/>
        <w:rPr>
          <w:sz w:val="20"/>
          <w:szCs w:val="20"/>
          <w:color w:val="auto"/>
        </w:rPr>
      </w:pPr>
      <w:r>
        <w:rPr>
          <w:rFonts w:ascii="Arial" w:cs="Arial" w:eastAsia="Arial" w:hAnsi="Arial"/>
          <w:sz w:val="17"/>
          <w:szCs w:val="17"/>
          <w:color w:val="auto"/>
        </w:rPr>
        <w:t>The Compensation and Management Resources Committee of the Board of Directors has reviewed and discussed the Compensation Discussion and Analysis required by Item 402(b) of Regulation S-K with management and, based on that review and discussion, has recommended to the Board of Directors that the Compensation Discussion and Analysis be included in this proxy statement.</w:t>
      </w:r>
    </w:p>
    <w:p>
      <w:pPr>
        <w:spacing w:after="0" w:line="24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 xml:space="preserve">James E. Preston, </w:t>
      </w:r>
      <w:r>
        <w:rPr>
          <w:rFonts w:ascii="Arial" w:cs="Arial" w:eastAsia="Arial" w:hAnsi="Arial"/>
          <w:sz w:val="19"/>
          <w:szCs w:val="19"/>
          <w:i w:val="1"/>
          <w:iCs w:val="1"/>
          <w:color w:val="auto"/>
        </w:rPr>
        <w:t>Chair</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Alan D. Feldman</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Christopher A. Sinclair</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Cheryl Nido Turpin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9"/>
          <w:szCs w:val="19"/>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50430" cy="4472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47230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1360" w:type="dxa"/>
            <w:vAlign w:val="bottom"/>
          </w:tcPr>
          <w:p>
            <w:pPr>
              <w:ind w:left="580"/>
              <w:spacing w:after="0"/>
              <w:rPr>
                <w:sz w:val="20"/>
                <w:szCs w:val="20"/>
                <w:color w:val="auto"/>
              </w:rPr>
            </w:pPr>
            <w:r>
              <w:rPr>
                <w:rFonts w:ascii="Arial" w:cs="Arial" w:eastAsia="Arial" w:hAnsi="Arial"/>
                <w:sz w:val="16"/>
                <w:szCs w:val="16"/>
                <w:b w:val="1"/>
                <w:bCs w:val="1"/>
                <w:color w:val="auto"/>
              </w:rPr>
              <w:t>(a)</w:t>
            </w:r>
          </w:p>
        </w:tc>
        <w:tc>
          <w:tcPr>
            <w:tcW w:w="160" w:type="dxa"/>
            <w:vAlign w:val="bottom"/>
          </w:tcPr>
          <w:p>
            <w:pPr>
              <w:spacing w:after="0"/>
              <w:rPr>
                <w:sz w:val="17"/>
                <w:szCs w:val="17"/>
                <w:color w:val="auto"/>
              </w:rPr>
            </w:pPr>
          </w:p>
        </w:tc>
        <w:tc>
          <w:tcPr>
            <w:tcW w:w="540" w:type="dxa"/>
            <w:vAlign w:val="bottom"/>
          </w:tcPr>
          <w:p>
            <w:pPr>
              <w:jc w:val="right"/>
              <w:ind w:right="101"/>
              <w:spacing w:after="0"/>
              <w:rPr>
                <w:sz w:val="20"/>
                <w:szCs w:val="20"/>
                <w:color w:val="auto"/>
              </w:rPr>
            </w:pPr>
            <w:r>
              <w:rPr>
                <w:rFonts w:ascii="Arial" w:cs="Arial" w:eastAsia="Arial" w:hAnsi="Arial"/>
                <w:sz w:val="16"/>
                <w:szCs w:val="16"/>
                <w:b w:val="1"/>
                <w:bCs w:val="1"/>
                <w:color w:val="auto"/>
              </w:rPr>
              <w:t>(b)</w:t>
            </w: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c>
          <w:tcPr>
            <w:tcW w:w="16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7"/>
              </w:rPr>
              <w:t>(d)</w:t>
            </w: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1"/>
              </w:rPr>
              <w:t>(e)</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9"/>
              </w:rPr>
              <w:t>(f)</w:t>
            </w:r>
          </w:p>
        </w:tc>
        <w:tc>
          <w:tcPr>
            <w:tcW w:w="1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7"/>
              </w:rPr>
              <w:t>(g)</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(h)</w:t>
            </w:r>
          </w:p>
        </w:tc>
        <w:tc>
          <w:tcPr>
            <w:tcW w:w="16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2"/>
              </w:rPr>
              <w:t>(i)</w:t>
            </w:r>
          </w:p>
        </w:tc>
        <w:tc>
          <w:tcPr>
            <w:tcW w:w="10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(j)</w:t>
            </w:r>
          </w:p>
        </w:tc>
      </w:tr>
      <w:tr>
        <w:trPr>
          <w:trHeight w:val="176"/>
        </w:trPr>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Change</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in Pension</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Value and</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Nonqualified</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1360" w:type="dxa"/>
            <w:vAlign w:val="bottom"/>
          </w:tcPr>
          <w:p>
            <w:pPr>
              <w:ind w:left="340"/>
              <w:spacing w:after="0" w:line="176" w:lineRule="exact"/>
              <w:rPr>
                <w:sz w:val="20"/>
                <w:szCs w:val="20"/>
                <w:color w:val="auto"/>
              </w:rPr>
            </w:pPr>
            <w:r>
              <w:rPr>
                <w:rFonts w:ascii="Arial" w:cs="Arial" w:eastAsia="Arial" w:hAnsi="Arial"/>
                <w:sz w:val="16"/>
                <w:szCs w:val="16"/>
                <w:b w:val="1"/>
                <w:bCs w:val="1"/>
                <w:color w:val="auto"/>
              </w:rPr>
              <w:t>Name and</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Stock</w:t>
            </w:r>
          </w:p>
        </w:tc>
        <w:tc>
          <w:tcPr>
            <w:tcW w:w="140" w:type="dxa"/>
            <w:vAlign w:val="bottom"/>
          </w:tcPr>
          <w:p>
            <w:pPr>
              <w:spacing w:after="0"/>
              <w:rPr>
                <w:sz w:val="15"/>
                <w:szCs w:val="15"/>
                <w:color w:val="auto"/>
              </w:rPr>
            </w:pPr>
          </w:p>
        </w:tc>
        <w:tc>
          <w:tcPr>
            <w:tcW w:w="760" w:type="dxa"/>
            <w:vAlign w:val="bottom"/>
          </w:tcPr>
          <w:p>
            <w:pPr>
              <w:ind w:left="140"/>
              <w:spacing w:after="0" w:line="176" w:lineRule="exact"/>
              <w:rPr>
                <w:sz w:val="20"/>
                <w:szCs w:val="20"/>
                <w:color w:val="auto"/>
              </w:rPr>
            </w:pPr>
            <w:r>
              <w:rPr>
                <w:rFonts w:ascii="Arial" w:cs="Arial" w:eastAsia="Arial" w:hAnsi="Arial"/>
                <w:sz w:val="16"/>
                <w:szCs w:val="16"/>
                <w:b w:val="1"/>
                <w:bCs w:val="1"/>
                <w:color w:val="auto"/>
              </w:rPr>
              <w:t>Option</w:t>
            </w:r>
          </w:p>
        </w:tc>
        <w:tc>
          <w:tcPr>
            <w:tcW w:w="16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Non-Equity</w:t>
            </w:r>
          </w:p>
        </w:tc>
        <w:tc>
          <w:tcPr>
            <w:tcW w:w="1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Deferred</w:t>
            </w:r>
          </w:p>
        </w:tc>
        <w:tc>
          <w:tcPr>
            <w:tcW w:w="16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7"/>
              </w:rPr>
              <w:t>All Other</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1360" w:type="dxa"/>
            <w:vAlign w:val="bottom"/>
          </w:tcPr>
          <w:p>
            <w:pPr>
              <w:ind w:left="440"/>
              <w:spacing w:after="0" w:line="176" w:lineRule="exact"/>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Salary</w:t>
            </w:r>
          </w:p>
        </w:tc>
        <w:tc>
          <w:tcPr>
            <w:tcW w:w="160" w:type="dxa"/>
            <w:vAlign w:val="bottom"/>
          </w:tcPr>
          <w:p>
            <w:pPr>
              <w:spacing w:after="0"/>
              <w:rPr>
                <w:sz w:val="15"/>
                <w:szCs w:val="15"/>
                <w:color w:val="auto"/>
              </w:rPr>
            </w:pPr>
          </w:p>
        </w:tc>
        <w:tc>
          <w:tcPr>
            <w:tcW w:w="7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4"/>
              </w:rPr>
              <w:t>Bonus</w:t>
            </w:r>
          </w:p>
        </w:tc>
        <w:tc>
          <w:tcPr>
            <w:tcW w:w="16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Awards</w:t>
            </w:r>
          </w:p>
        </w:tc>
        <w:tc>
          <w:tcPr>
            <w:tcW w:w="140" w:type="dxa"/>
            <w:vAlign w:val="bottom"/>
          </w:tcPr>
          <w:p>
            <w:pPr>
              <w:spacing w:after="0"/>
              <w:rPr>
                <w:sz w:val="15"/>
                <w:szCs w:val="15"/>
                <w:color w:val="auto"/>
              </w:rPr>
            </w:pPr>
          </w:p>
        </w:tc>
        <w:tc>
          <w:tcPr>
            <w:tcW w:w="7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Awards</w:t>
            </w:r>
          </w:p>
        </w:tc>
        <w:tc>
          <w:tcPr>
            <w:tcW w:w="16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Incentive Plan</w:t>
            </w:r>
          </w:p>
        </w:tc>
        <w:tc>
          <w:tcPr>
            <w:tcW w:w="1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Compensation</w:t>
            </w:r>
          </w:p>
        </w:tc>
        <w:tc>
          <w:tcPr>
            <w:tcW w:w="16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Compensation($)</w:t>
            </w:r>
          </w:p>
        </w:tc>
        <w:tc>
          <w:tcPr>
            <w:tcW w:w="100" w:type="dxa"/>
            <w:vAlign w:val="bottom"/>
          </w:tcPr>
          <w:p>
            <w:pPr>
              <w:spacing w:after="0"/>
              <w:rPr>
                <w:sz w:val="15"/>
                <w:szCs w:val="15"/>
                <w:color w:val="auto"/>
              </w:rPr>
            </w:pPr>
          </w:p>
        </w:tc>
        <w:tc>
          <w:tcPr>
            <w:tcW w:w="980" w:type="dxa"/>
            <w:vAlign w:val="bottom"/>
            <w:gridSpan w:val="2"/>
          </w:tcPr>
          <w:p>
            <w:pPr>
              <w:jc w:val="center"/>
              <w:ind w:right="140"/>
              <w:spacing w:after="0" w:line="176" w:lineRule="exact"/>
              <w:rPr>
                <w:sz w:val="20"/>
                <w:szCs w:val="20"/>
                <w:color w:val="auto"/>
              </w:rPr>
            </w:pPr>
            <w:r>
              <w:rPr>
                <w:rFonts w:ascii="Arial" w:cs="Arial" w:eastAsia="Arial" w:hAnsi="Arial"/>
                <w:sz w:val="16"/>
                <w:szCs w:val="16"/>
                <w:b w:val="1"/>
                <w:bCs w:val="1"/>
                <w:color w:val="auto"/>
                <w:w w:val="94"/>
              </w:rPr>
              <w:t>Total</w:t>
            </w:r>
          </w:p>
        </w:tc>
      </w:tr>
      <w:tr>
        <w:trPr>
          <w:trHeight w:val="209"/>
        </w:trPr>
        <w:tc>
          <w:tcPr>
            <w:tcW w:w="136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Position(1)</w:t>
            </w: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c>
          <w:tcPr>
            <w:tcW w:w="16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($)(2)</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($)(3)</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($)(4)</w:t>
            </w:r>
          </w:p>
        </w:tc>
        <w:tc>
          <w:tcPr>
            <w:tcW w:w="16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14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u w:val="single" w:color="auto"/>
                <w:color w:val="auto"/>
                <w:w w:val="91"/>
              </w:rPr>
              <w:t>Earnings($</w:t>
            </w:r>
            <w:r>
              <w:rPr>
                <w:rFonts w:ascii="Arial" w:cs="Arial" w:eastAsia="Arial" w:hAnsi="Arial"/>
                <w:sz w:val="16"/>
                <w:szCs w:val="16"/>
                <w:b w:val="1"/>
                <w:bCs w:val="1"/>
                <w:color w:val="auto"/>
                <w:w w:val="91"/>
              </w:rPr>
              <w:t>)(5)</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(6)</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r>
      <w:tr>
        <w:trPr>
          <w:trHeight w:val="260"/>
        </w:trPr>
        <w:tc>
          <w:tcPr>
            <w:tcW w:w="1360" w:type="dxa"/>
            <w:vAlign w:val="bottom"/>
            <w:shd w:val="clear" w:color="auto" w:fill="E5FFFF"/>
          </w:tcPr>
          <w:p>
            <w:pPr>
              <w:ind w:left="20"/>
              <w:spacing w:after="0"/>
              <w:rPr>
                <w:sz w:val="20"/>
                <w:szCs w:val="20"/>
                <w:color w:val="auto"/>
              </w:rPr>
            </w:pPr>
            <w:r>
              <w:rPr>
                <w:rFonts w:ascii="Arial" w:cs="Arial" w:eastAsia="Arial" w:hAnsi="Arial"/>
                <w:sz w:val="16"/>
                <w:szCs w:val="16"/>
                <w:color w:val="auto"/>
              </w:rPr>
              <w:t>Matthew Serra</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2007</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1,500,000</w:t>
            </w:r>
          </w:p>
        </w:tc>
        <w:tc>
          <w:tcPr>
            <w:tcW w:w="160" w:type="dxa"/>
            <w:vAlign w:val="bottom"/>
            <w:shd w:val="clear" w:color="auto" w:fill="E5FFFF"/>
          </w:tcPr>
          <w:p>
            <w:pPr>
              <w:spacing w:after="0"/>
              <w:rPr>
                <w:sz w:val="22"/>
                <w:szCs w:val="22"/>
                <w:color w:val="auto"/>
              </w:rPr>
            </w:pPr>
          </w:p>
        </w:tc>
        <w:tc>
          <w:tcPr>
            <w:tcW w:w="74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1,613,477</w:t>
            </w:r>
          </w:p>
        </w:tc>
        <w:tc>
          <w:tcPr>
            <w:tcW w:w="900" w:type="dxa"/>
            <w:vAlign w:val="bottom"/>
            <w:gridSpan w:val="2"/>
            <w:shd w:val="clear" w:color="auto" w:fill="E5FFFF"/>
          </w:tcPr>
          <w:p>
            <w:pPr>
              <w:ind w:left="300"/>
              <w:spacing w:after="0"/>
              <w:rPr>
                <w:sz w:val="20"/>
                <w:szCs w:val="20"/>
                <w:color w:val="auto"/>
              </w:rPr>
            </w:pPr>
            <w:r>
              <w:rPr>
                <w:rFonts w:ascii="Arial" w:cs="Arial" w:eastAsia="Arial" w:hAnsi="Arial"/>
                <w:sz w:val="16"/>
                <w:szCs w:val="16"/>
                <w:color w:val="auto"/>
              </w:rPr>
              <w:t>444,589</w:t>
            </w:r>
          </w:p>
        </w:tc>
        <w:tc>
          <w:tcPr>
            <w:tcW w:w="160" w:type="dxa"/>
            <w:vAlign w:val="bottom"/>
            <w:shd w:val="clear" w:color="auto" w:fill="E5FFFF"/>
          </w:tcPr>
          <w:p>
            <w:pPr>
              <w:spacing w:after="0"/>
              <w:rPr>
                <w:sz w:val="22"/>
                <w:szCs w:val="22"/>
                <w:color w:val="auto"/>
              </w:rPr>
            </w:pPr>
          </w:p>
        </w:tc>
        <w:tc>
          <w:tcPr>
            <w:tcW w:w="1280" w:type="dxa"/>
            <w:vAlign w:val="bottom"/>
            <w:shd w:val="clear" w:color="auto" w:fill="E5FFFF"/>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227,515</w:t>
            </w:r>
          </w:p>
        </w:tc>
        <w:tc>
          <w:tcPr>
            <w:tcW w:w="13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75,717</w:t>
            </w:r>
          </w:p>
        </w:tc>
        <w:tc>
          <w:tcPr>
            <w:tcW w:w="96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3,861,298</w:t>
            </w:r>
          </w:p>
        </w:tc>
        <w:tc>
          <w:tcPr>
            <w:tcW w:w="120" w:type="dxa"/>
            <w:vAlign w:val="bottom"/>
            <w:shd w:val="clear" w:color="auto" w:fill="E5FFFF"/>
          </w:tcPr>
          <w:p>
            <w:pPr>
              <w:spacing w:after="0"/>
              <w:rPr>
                <w:sz w:val="22"/>
                <w:szCs w:val="22"/>
                <w:color w:val="auto"/>
              </w:rPr>
            </w:pPr>
          </w:p>
        </w:tc>
      </w:tr>
      <w:tr>
        <w:trPr>
          <w:trHeight w:val="177"/>
        </w:trPr>
        <w:tc>
          <w:tcPr>
            <w:tcW w:w="1360" w:type="dxa"/>
            <w:vAlign w:val="bottom"/>
            <w:shd w:val="clear" w:color="auto" w:fill="E5FFFF"/>
          </w:tcPr>
          <w:p>
            <w:pPr>
              <w:ind w:left="160"/>
              <w:spacing w:after="0" w:line="178" w:lineRule="exact"/>
              <w:rPr>
                <w:sz w:val="20"/>
                <w:szCs w:val="20"/>
                <w:color w:val="auto"/>
              </w:rPr>
            </w:pPr>
            <w:r>
              <w:rPr>
                <w:rFonts w:ascii="Arial" w:cs="Arial" w:eastAsia="Arial" w:hAnsi="Arial"/>
                <w:sz w:val="16"/>
                <w:szCs w:val="16"/>
                <w:color w:val="auto"/>
              </w:rPr>
              <w:t>Chairman,</w:t>
            </w:r>
          </w:p>
        </w:tc>
        <w:tc>
          <w:tcPr>
            <w:tcW w:w="160" w:type="dxa"/>
            <w:vAlign w:val="bottom"/>
            <w:shd w:val="clear" w:color="auto" w:fill="E5FFFF"/>
          </w:tcPr>
          <w:p>
            <w:pPr>
              <w:spacing w:after="0"/>
              <w:rPr>
                <w:sz w:val="15"/>
                <w:szCs w:val="15"/>
                <w:color w:val="auto"/>
              </w:rPr>
            </w:pPr>
          </w:p>
        </w:tc>
        <w:tc>
          <w:tcPr>
            <w:tcW w:w="54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8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86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28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110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2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8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r>
      <w:tr>
        <w:trPr>
          <w:trHeight w:val="201"/>
        </w:trPr>
        <w:tc>
          <w:tcPr>
            <w:tcW w:w="13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President</w:t>
            </w:r>
          </w:p>
        </w:tc>
        <w:tc>
          <w:tcPr>
            <w:tcW w:w="160" w:type="dxa"/>
            <w:vAlign w:val="bottom"/>
            <w:shd w:val="clear" w:color="auto" w:fill="E5FFFF"/>
          </w:tcPr>
          <w:p>
            <w:pPr>
              <w:spacing w:after="0"/>
              <w:rPr>
                <w:sz w:val="17"/>
                <w:szCs w:val="17"/>
                <w:color w:val="auto"/>
              </w:rPr>
            </w:pP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2006</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1,500,000</w:t>
            </w: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1,637,369</w:t>
            </w:r>
          </w:p>
        </w:tc>
        <w:tc>
          <w:tcPr>
            <w:tcW w:w="900" w:type="dxa"/>
            <w:vAlign w:val="bottom"/>
            <w:gridSpan w:val="2"/>
            <w:shd w:val="clear" w:color="auto" w:fill="E5FFFF"/>
          </w:tcPr>
          <w:p>
            <w:pPr>
              <w:ind w:left="300"/>
              <w:spacing w:after="0"/>
              <w:rPr>
                <w:sz w:val="20"/>
                <w:szCs w:val="20"/>
                <w:color w:val="auto"/>
              </w:rPr>
            </w:pPr>
            <w:r>
              <w:rPr>
                <w:rFonts w:ascii="Arial" w:cs="Arial" w:eastAsia="Arial" w:hAnsi="Arial"/>
                <w:sz w:val="16"/>
                <w:szCs w:val="16"/>
                <w:color w:val="auto"/>
              </w:rPr>
              <w:t>679,752</w:t>
            </w:r>
          </w:p>
        </w:tc>
        <w:tc>
          <w:tcPr>
            <w:tcW w:w="14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1,547,582</w:t>
            </w:r>
          </w:p>
        </w:tc>
        <w:tc>
          <w:tcPr>
            <w:tcW w:w="12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225,627</w:t>
            </w:r>
          </w:p>
        </w:tc>
        <w:tc>
          <w:tcPr>
            <w:tcW w:w="13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82,573</w:t>
            </w:r>
          </w:p>
        </w:tc>
        <w:tc>
          <w:tcPr>
            <w:tcW w:w="96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5,672,903</w:t>
            </w:r>
          </w:p>
        </w:tc>
        <w:tc>
          <w:tcPr>
            <w:tcW w:w="120" w:type="dxa"/>
            <w:vAlign w:val="bottom"/>
            <w:shd w:val="clear" w:color="auto" w:fill="E5FFFF"/>
          </w:tcPr>
          <w:p>
            <w:pPr>
              <w:spacing w:after="0"/>
              <w:rPr>
                <w:sz w:val="17"/>
                <w:szCs w:val="17"/>
                <w:color w:val="auto"/>
              </w:rPr>
            </w:pPr>
          </w:p>
        </w:tc>
      </w:tr>
      <w:tr>
        <w:trPr>
          <w:trHeight w:val="278"/>
        </w:trPr>
        <w:tc>
          <w:tcPr>
            <w:tcW w:w="13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and CEO</w:t>
            </w:r>
          </w:p>
        </w:tc>
        <w:tc>
          <w:tcPr>
            <w:tcW w:w="160" w:type="dxa"/>
            <w:vAlign w:val="bottom"/>
            <w:shd w:val="clear" w:color="auto" w:fill="E5FFFF"/>
          </w:tcPr>
          <w:p>
            <w:pPr>
              <w:spacing w:after="0"/>
              <w:rPr>
                <w:sz w:val="24"/>
                <w:szCs w:val="24"/>
                <w:color w:val="auto"/>
              </w:rPr>
            </w:pPr>
          </w:p>
        </w:tc>
        <w:tc>
          <w:tcPr>
            <w:tcW w:w="54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74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76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128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10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122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r>
      <w:tr>
        <w:trPr>
          <w:trHeight w:val="262"/>
        </w:trPr>
        <w:tc>
          <w:tcPr>
            <w:tcW w:w="1360" w:type="dxa"/>
            <w:vAlign w:val="bottom"/>
          </w:tcPr>
          <w:p>
            <w:pPr>
              <w:ind w:left="20"/>
              <w:spacing w:after="0"/>
              <w:rPr>
                <w:sz w:val="20"/>
                <w:szCs w:val="20"/>
                <w:color w:val="auto"/>
              </w:rPr>
            </w:pPr>
            <w:r>
              <w:rPr>
                <w:rFonts w:ascii="Arial" w:cs="Arial" w:eastAsia="Arial" w:hAnsi="Arial"/>
                <w:sz w:val="16"/>
                <w:szCs w:val="16"/>
                <w:color w:val="auto"/>
              </w:rPr>
              <w:t>Robert McHugh</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2007</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518,750</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517,331</w:t>
            </w:r>
          </w:p>
        </w:tc>
        <w:tc>
          <w:tcPr>
            <w:tcW w:w="900" w:type="dxa"/>
            <w:vAlign w:val="bottom"/>
            <w:gridSpan w:val="2"/>
          </w:tcPr>
          <w:p>
            <w:pPr>
              <w:ind w:left="300"/>
              <w:spacing w:after="0"/>
              <w:rPr>
                <w:sz w:val="20"/>
                <w:szCs w:val="20"/>
                <w:color w:val="auto"/>
              </w:rPr>
            </w:pPr>
            <w:r>
              <w:rPr>
                <w:rFonts w:ascii="Arial" w:cs="Arial" w:eastAsia="Arial" w:hAnsi="Arial"/>
                <w:sz w:val="16"/>
                <w:szCs w:val="16"/>
                <w:color w:val="auto"/>
              </w:rPr>
              <w:t>116,289</w:t>
            </w:r>
          </w:p>
        </w:tc>
        <w:tc>
          <w:tcPr>
            <w:tcW w:w="160" w:type="dxa"/>
            <w:vAlign w:val="bottom"/>
          </w:tcPr>
          <w:p>
            <w:pPr>
              <w:spacing w:after="0"/>
              <w:rPr>
                <w:sz w:val="22"/>
                <w:szCs w:val="22"/>
                <w:color w:val="auto"/>
              </w:rPr>
            </w:pP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81"/>
              <w:spacing w:after="0"/>
              <w:rPr>
                <w:sz w:val="20"/>
                <w:szCs w:val="20"/>
                <w:color w:val="auto"/>
              </w:rPr>
            </w:pPr>
            <w:r>
              <w:rPr>
                <w:rFonts w:ascii="Arial" w:cs="Arial" w:eastAsia="Arial" w:hAnsi="Arial"/>
                <w:sz w:val="16"/>
                <w:szCs w:val="16"/>
                <w:color w:val="auto"/>
              </w:rPr>
              <w:t>34,348</w:t>
            </w:r>
          </w:p>
        </w:tc>
        <w:tc>
          <w:tcPr>
            <w:tcW w:w="1380" w:type="dxa"/>
            <w:vAlign w:val="bottom"/>
            <w:gridSpan w:val="2"/>
          </w:tcPr>
          <w:p>
            <w:pPr>
              <w:jc w:val="right"/>
              <w:ind w:right="61"/>
              <w:spacing w:after="0"/>
              <w:rPr>
                <w:sz w:val="20"/>
                <w:szCs w:val="20"/>
                <w:color w:val="auto"/>
              </w:rPr>
            </w:pPr>
            <w:r>
              <w:rPr>
                <w:rFonts w:ascii="Arial" w:cs="Arial" w:eastAsia="Arial" w:hAnsi="Arial"/>
                <w:sz w:val="16"/>
                <w:szCs w:val="16"/>
                <w:color w:val="auto"/>
              </w:rPr>
              <w:t>20,211</w:t>
            </w:r>
          </w:p>
        </w:tc>
        <w:tc>
          <w:tcPr>
            <w:tcW w:w="960" w:type="dxa"/>
            <w:vAlign w:val="bottom"/>
            <w:gridSpan w:val="2"/>
          </w:tcPr>
          <w:p>
            <w:pPr>
              <w:jc w:val="right"/>
              <w:ind w:right="21"/>
              <w:spacing w:after="0"/>
              <w:rPr>
                <w:sz w:val="20"/>
                <w:szCs w:val="20"/>
                <w:color w:val="auto"/>
              </w:rPr>
            </w:pPr>
            <w:r>
              <w:rPr>
                <w:rFonts w:ascii="Arial" w:cs="Arial" w:eastAsia="Arial" w:hAnsi="Arial"/>
                <w:sz w:val="16"/>
                <w:szCs w:val="16"/>
                <w:color w:val="auto"/>
              </w:rPr>
              <w:t>1,206,929</w:t>
            </w:r>
          </w:p>
        </w:tc>
        <w:tc>
          <w:tcPr>
            <w:tcW w:w="120" w:type="dxa"/>
            <w:vAlign w:val="bottom"/>
          </w:tcPr>
          <w:p>
            <w:pPr>
              <w:spacing w:after="0"/>
              <w:rPr>
                <w:sz w:val="22"/>
                <w:szCs w:val="22"/>
                <w:color w:val="auto"/>
              </w:rPr>
            </w:pPr>
          </w:p>
        </w:tc>
      </w:tr>
      <w:tr>
        <w:trPr>
          <w:trHeight w:val="177"/>
        </w:trPr>
        <w:tc>
          <w:tcPr>
            <w:tcW w:w="1360" w:type="dxa"/>
            <w:vAlign w:val="bottom"/>
          </w:tcPr>
          <w:p>
            <w:pPr>
              <w:ind w:left="160"/>
              <w:spacing w:after="0" w:line="178" w:lineRule="exact"/>
              <w:rPr>
                <w:sz w:val="20"/>
                <w:szCs w:val="20"/>
                <w:color w:val="auto"/>
              </w:rPr>
            </w:pPr>
            <w:r>
              <w:rPr>
                <w:rFonts w:ascii="Arial" w:cs="Arial" w:eastAsia="Arial" w:hAnsi="Arial"/>
                <w:sz w:val="16"/>
                <w:szCs w:val="16"/>
                <w:color w:val="auto"/>
              </w:rPr>
              <w:t>Senior VP and</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5"/>
        </w:trPr>
        <w:tc>
          <w:tcPr>
            <w:tcW w:w="1360" w:type="dxa"/>
            <w:vAlign w:val="bottom"/>
          </w:tcPr>
          <w:p>
            <w:pPr>
              <w:ind w:left="300"/>
              <w:spacing w:after="0"/>
              <w:rPr>
                <w:sz w:val="20"/>
                <w:szCs w:val="20"/>
                <w:color w:val="auto"/>
              </w:rPr>
            </w:pPr>
            <w:r>
              <w:rPr>
                <w:rFonts w:ascii="Arial" w:cs="Arial" w:eastAsia="Arial" w:hAnsi="Arial"/>
                <w:sz w:val="16"/>
                <w:szCs w:val="16"/>
                <w:color w:val="auto"/>
              </w:rPr>
              <w:t>CFO</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2006</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500,000</w:t>
            </w:r>
          </w:p>
        </w:tc>
        <w:tc>
          <w:tcPr>
            <w:tcW w:w="160" w:type="dxa"/>
            <w:vAlign w:val="bottom"/>
          </w:tcPr>
          <w:p>
            <w:pPr>
              <w:spacing w:after="0"/>
              <w:rPr>
                <w:sz w:val="17"/>
                <w:szCs w:val="17"/>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480,033</w:t>
            </w:r>
          </w:p>
        </w:tc>
        <w:tc>
          <w:tcPr>
            <w:tcW w:w="900" w:type="dxa"/>
            <w:vAlign w:val="bottom"/>
            <w:gridSpan w:val="2"/>
          </w:tcPr>
          <w:p>
            <w:pPr>
              <w:ind w:left="300"/>
              <w:spacing w:after="0"/>
              <w:rPr>
                <w:sz w:val="20"/>
                <w:szCs w:val="20"/>
                <w:color w:val="auto"/>
              </w:rPr>
            </w:pPr>
            <w:r>
              <w:rPr>
                <w:rFonts w:ascii="Arial" w:cs="Arial" w:eastAsia="Arial" w:hAnsi="Arial"/>
                <w:sz w:val="16"/>
                <w:szCs w:val="16"/>
                <w:color w:val="auto"/>
              </w:rPr>
              <w:t>146,012</w:t>
            </w:r>
          </w:p>
        </w:tc>
        <w:tc>
          <w:tcPr>
            <w:tcW w:w="1440" w:type="dxa"/>
            <w:vAlign w:val="bottom"/>
            <w:gridSpan w:val="2"/>
          </w:tcPr>
          <w:p>
            <w:pPr>
              <w:jc w:val="right"/>
              <w:ind w:right="81"/>
              <w:spacing w:after="0"/>
              <w:rPr>
                <w:sz w:val="20"/>
                <w:szCs w:val="20"/>
                <w:color w:val="auto"/>
              </w:rPr>
            </w:pPr>
            <w:r>
              <w:rPr>
                <w:rFonts w:ascii="Arial" w:cs="Arial" w:eastAsia="Arial" w:hAnsi="Arial"/>
                <w:sz w:val="16"/>
                <w:szCs w:val="16"/>
                <w:color w:val="auto"/>
              </w:rPr>
              <w:t>272,839</w:t>
            </w:r>
          </w:p>
        </w:tc>
        <w:tc>
          <w:tcPr>
            <w:tcW w:w="1240" w:type="dxa"/>
            <w:vAlign w:val="bottom"/>
            <w:gridSpan w:val="2"/>
          </w:tcPr>
          <w:p>
            <w:pPr>
              <w:jc w:val="right"/>
              <w:ind w:right="81"/>
              <w:spacing w:after="0"/>
              <w:rPr>
                <w:sz w:val="20"/>
                <w:szCs w:val="20"/>
                <w:color w:val="auto"/>
              </w:rPr>
            </w:pPr>
            <w:r>
              <w:rPr>
                <w:rFonts w:ascii="Arial" w:cs="Arial" w:eastAsia="Arial" w:hAnsi="Arial"/>
                <w:sz w:val="16"/>
                <w:szCs w:val="16"/>
                <w:color w:val="auto"/>
              </w:rPr>
              <w:t>34,550</w:t>
            </w:r>
          </w:p>
        </w:tc>
        <w:tc>
          <w:tcPr>
            <w:tcW w:w="1380" w:type="dxa"/>
            <w:vAlign w:val="bottom"/>
            <w:gridSpan w:val="2"/>
          </w:tcPr>
          <w:p>
            <w:pPr>
              <w:jc w:val="right"/>
              <w:ind w:right="61"/>
              <w:spacing w:after="0"/>
              <w:rPr>
                <w:sz w:val="20"/>
                <w:szCs w:val="20"/>
                <w:color w:val="auto"/>
              </w:rPr>
            </w:pPr>
            <w:r>
              <w:rPr>
                <w:rFonts w:ascii="Arial" w:cs="Arial" w:eastAsia="Arial" w:hAnsi="Arial"/>
                <w:sz w:val="16"/>
                <w:szCs w:val="16"/>
                <w:color w:val="auto"/>
              </w:rPr>
              <w:t>23,447</w:t>
            </w:r>
          </w:p>
        </w:tc>
        <w:tc>
          <w:tcPr>
            <w:tcW w:w="960" w:type="dxa"/>
            <w:vAlign w:val="bottom"/>
            <w:gridSpan w:val="2"/>
          </w:tcPr>
          <w:p>
            <w:pPr>
              <w:jc w:val="right"/>
              <w:ind w:right="21"/>
              <w:spacing w:after="0"/>
              <w:rPr>
                <w:sz w:val="20"/>
                <w:szCs w:val="20"/>
                <w:color w:val="auto"/>
              </w:rPr>
            </w:pPr>
            <w:r>
              <w:rPr>
                <w:rFonts w:ascii="Arial" w:cs="Arial" w:eastAsia="Arial" w:hAnsi="Arial"/>
                <w:sz w:val="16"/>
                <w:szCs w:val="16"/>
                <w:color w:val="auto"/>
              </w:rPr>
              <w:t>1,456,881</w:t>
            </w:r>
          </w:p>
        </w:tc>
        <w:tc>
          <w:tcPr>
            <w:tcW w:w="120" w:type="dxa"/>
            <w:vAlign w:val="bottom"/>
          </w:tcPr>
          <w:p>
            <w:pPr>
              <w:spacing w:after="0"/>
              <w:rPr>
                <w:sz w:val="17"/>
                <w:szCs w:val="17"/>
                <w:color w:val="auto"/>
              </w:rPr>
            </w:pPr>
          </w:p>
        </w:tc>
      </w:tr>
      <w:tr>
        <w:trPr>
          <w:trHeight w:val="266"/>
        </w:trPr>
        <w:tc>
          <w:tcPr>
            <w:tcW w:w="1360" w:type="dxa"/>
            <w:vAlign w:val="bottom"/>
            <w:shd w:val="clear" w:color="auto" w:fill="E5FFFF"/>
          </w:tcPr>
          <w:p>
            <w:pPr>
              <w:ind w:left="20"/>
              <w:spacing w:after="0"/>
              <w:rPr>
                <w:sz w:val="20"/>
                <w:szCs w:val="20"/>
                <w:color w:val="auto"/>
              </w:rPr>
            </w:pPr>
            <w:r>
              <w:rPr>
                <w:rFonts w:ascii="Arial" w:cs="Arial" w:eastAsia="Arial" w:hAnsi="Arial"/>
                <w:sz w:val="16"/>
                <w:szCs w:val="16"/>
                <w:color w:val="auto"/>
              </w:rPr>
              <w:t>Richard Mina</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2007</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868,750</w:t>
            </w: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1,140,060</w:t>
            </w:r>
          </w:p>
        </w:tc>
        <w:tc>
          <w:tcPr>
            <w:tcW w:w="900" w:type="dxa"/>
            <w:vAlign w:val="bottom"/>
            <w:gridSpan w:val="2"/>
            <w:shd w:val="clear" w:color="auto" w:fill="E5FFFF"/>
          </w:tcPr>
          <w:p>
            <w:pPr>
              <w:ind w:left="300"/>
              <w:spacing w:after="0"/>
              <w:rPr>
                <w:sz w:val="20"/>
                <w:szCs w:val="20"/>
                <w:color w:val="auto"/>
              </w:rPr>
            </w:pPr>
            <w:r>
              <w:rPr>
                <w:rFonts w:ascii="Arial" w:cs="Arial" w:eastAsia="Arial" w:hAnsi="Arial"/>
                <w:sz w:val="16"/>
                <w:szCs w:val="16"/>
                <w:color w:val="auto"/>
              </w:rPr>
              <w:t>251,060</w:t>
            </w:r>
          </w:p>
        </w:tc>
        <w:tc>
          <w:tcPr>
            <w:tcW w:w="16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137,457</w:t>
            </w:r>
          </w:p>
        </w:tc>
        <w:tc>
          <w:tcPr>
            <w:tcW w:w="13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49,370</w:t>
            </w:r>
          </w:p>
        </w:tc>
        <w:tc>
          <w:tcPr>
            <w:tcW w:w="96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2,446,697</w:t>
            </w:r>
          </w:p>
        </w:tc>
        <w:tc>
          <w:tcPr>
            <w:tcW w:w="120" w:type="dxa"/>
            <w:vAlign w:val="bottom"/>
            <w:shd w:val="clear" w:color="auto" w:fill="E5FFFF"/>
          </w:tcPr>
          <w:p>
            <w:pPr>
              <w:spacing w:after="0"/>
              <w:rPr>
                <w:sz w:val="23"/>
                <w:szCs w:val="23"/>
                <w:color w:val="auto"/>
              </w:rPr>
            </w:pPr>
          </w:p>
        </w:tc>
      </w:tr>
      <w:tr>
        <w:trPr>
          <w:trHeight w:val="177"/>
        </w:trPr>
        <w:tc>
          <w:tcPr>
            <w:tcW w:w="1360" w:type="dxa"/>
            <w:vAlign w:val="bottom"/>
            <w:shd w:val="clear" w:color="auto" w:fill="E5FFFF"/>
          </w:tcPr>
          <w:p>
            <w:pPr>
              <w:ind w:left="160"/>
              <w:spacing w:after="0" w:line="178" w:lineRule="exact"/>
              <w:rPr>
                <w:sz w:val="20"/>
                <w:szCs w:val="20"/>
                <w:color w:val="auto"/>
              </w:rPr>
            </w:pPr>
            <w:r>
              <w:rPr>
                <w:rFonts w:ascii="Arial" w:cs="Arial" w:eastAsia="Arial" w:hAnsi="Arial"/>
                <w:sz w:val="16"/>
                <w:szCs w:val="16"/>
                <w:color w:val="auto"/>
              </w:rPr>
              <w:t>President and</w:t>
            </w:r>
          </w:p>
        </w:tc>
        <w:tc>
          <w:tcPr>
            <w:tcW w:w="160" w:type="dxa"/>
            <w:vAlign w:val="bottom"/>
            <w:shd w:val="clear" w:color="auto" w:fill="E5FFFF"/>
          </w:tcPr>
          <w:p>
            <w:pPr>
              <w:spacing w:after="0"/>
              <w:rPr>
                <w:sz w:val="15"/>
                <w:szCs w:val="15"/>
                <w:color w:val="auto"/>
              </w:rPr>
            </w:pPr>
          </w:p>
        </w:tc>
        <w:tc>
          <w:tcPr>
            <w:tcW w:w="54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8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86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28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110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2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86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r>
      <w:tr>
        <w:trPr>
          <w:trHeight w:val="201"/>
        </w:trPr>
        <w:tc>
          <w:tcPr>
            <w:tcW w:w="1360" w:type="dxa"/>
            <w:vAlign w:val="bottom"/>
            <w:shd w:val="clear" w:color="auto" w:fill="E5FFFF"/>
          </w:tcPr>
          <w:p>
            <w:pPr>
              <w:ind w:left="300"/>
              <w:spacing w:after="0"/>
              <w:rPr>
                <w:sz w:val="20"/>
                <w:szCs w:val="20"/>
                <w:color w:val="auto"/>
              </w:rPr>
            </w:pPr>
            <w:r>
              <w:rPr>
                <w:rFonts w:ascii="Arial" w:cs="Arial" w:eastAsia="Arial" w:hAnsi="Arial"/>
                <w:sz w:val="16"/>
                <w:szCs w:val="16"/>
                <w:color w:val="auto"/>
              </w:rPr>
              <w:t>CEO–</w:t>
            </w:r>
          </w:p>
        </w:tc>
        <w:tc>
          <w:tcPr>
            <w:tcW w:w="160" w:type="dxa"/>
            <w:vAlign w:val="bottom"/>
            <w:shd w:val="clear" w:color="auto" w:fill="E5FFFF"/>
          </w:tcPr>
          <w:p>
            <w:pPr>
              <w:spacing w:after="0"/>
              <w:rPr>
                <w:sz w:val="17"/>
                <w:szCs w:val="17"/>
                <w:color w:val="auto"/>
              </w:rPr>
            </w:pP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2006</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837,500</w:t>
            </w:r>
          </w:p>
        </w:tc>
        <w:tc>
          <w:tcPr>
            <w:tcW w:w="16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1,342,247</w:t>
            </w:r>
          </w:p>
        </w:tc>
        <w:tc>
          <w:tcPr>
            <w:tcW w:w="900" w:type="dxa"/>
            <w:vAlign w:val="bottom"/>
            <w:gridSpan w:val="2"/>
            <w:shd w:val="clear" w:color="auto" w:fill="E5FFFF"/>
          </w:tcPr>
          <w:p>
            <w:pPr>
              <w:ind w:left="300"/>
              <w:spacing w:after="0"/>
              <w:rPr>
                <w:sz w:val="20"/>
                <w:szCs w:val="20"/>
                <w:color w:val="auto"/>
              </w:rPr>
            </w:pPr>
            <w:r>
              <w:rPr>
                <w:rFonts w:ascii="Arial" w:cs="Arial" w:eastAsia="Arial" w:hAnsi="Arial"/>
                <w:sz w:val="16"/>
                <w:szCs w:val="16"/>
                <w:color w:val="auto"/>
              </w:rPr>
              <w:t>365,167</w:t>
            </w:r>
          </w:p>
        </w:tc>
        <w:tc>
          <w:tcPr>
            <w:tcW w:w="14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609,418</w:t>
            </w:r>
          </w:p>
        </w:tc>
        <w:tc>
          <w:tcPr>
            <w:tcW w:w="12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127,945</w:t>
            </w:r>
          </w:p>
        </w:tc>
        <w:tc>
          <w:tcPr>
            <w:tcW w:w="13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49,453</w:t>
            </w:r>
          </w:p>
        </w:tc>
        <w:tc>
          <w:tcPr>
            <w:tcW w:w="96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3,331,730</w:t>
            </w:r>
          </w:p>
        </w:tc>
        <w:tc>
          <w:tcPr>
            <w:tcW w:w="120" w:type="dxa"/>
            <w:vAlign w:val="bottom"/>
            <w:shd w:val="clear" w:color="auto" w:fill="E5FFFF"/>
          </w:tcPr>
          <w:p>
            <w:pPr>
              <w:spacing w:after="0"/>
              <w:rPr>
                <w:sz w:val="17"/>
                <w:szCs w:val="17"/>
                <w:color w:val="auto"/>
              </w:rPr>
            </w:pPr>
          </w:p>
        </w:tc>
      </w:tr>
      <w:tr>
        <w:trPr>
          <w:trHeight w:val="270"/>
        </w:trPr>
        <w:tc>
          <w:tcPr>
            <w:tcW w:w="1360" w:type="dxa"/>
            <w:vAlign w:val="bottom"/>
            <w:shd w:val="clear" w:color="auto" w:fill="E5FFFF"/>
          </w:tcPr>
          <w:p>
            <w:pPr>
              <w:ind w:left="160"/>
              <w:spacing w:after="0"/>
              <w:rPr>
                <w:sz w:val="20"/>
                <w:szCs w:val="20"/>
                <w:color w:val="auto"/>
              </w:rPr>
            </w:pPr>
            <w:r>
              <w:rPr>
                <w:rFonts w:ascii="Arial" w:cs="Arial" w:eastAsia="Arial" w:hAnsi="Arial"/>
                <w:sz w:val="16"/>
                <w:szCs w:val="16"/>
                <w:color w:val="auto"/>
                <w:w w:val="92"/>
              </w:rPr>
              <w:t>Foot Locker, Inc.–</w:t>
            </w:r>
          </w:p>
        </w:tc>
        <w:tc>
          <w:tcPr>
            <w:tcW w:w="160" w:type="dxa"/>
            <w:vAlign w:val="bottom"/>
            <w:shd w:val="clear" w:color="auto" w:fill="E5FFFF"/>
          </w:tcPr>
          <w:p>
            <w:pPr>
              <w:spacing w:after="0"/>
              <w:rPr>
                <w:sz w:val="23"/>
                <w:szCs w:val="23"/>
                <w:color w:val="auto"/>
              </w:rPr>
            </w:pPr>
          </w:p>
        </w:tc>
        <w:tc>
          <w:tcPr>
            <w:tcW w:w="5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28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110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1220" w:type="dxa"/>
            <w:vAlign w:val="bottom"/>
            <w:shd w:val="clear" w:color="auto" w:fill="E5FFFF"/>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r>
      <w:tr>
        <w:trPr>
          <w:trHeight w:val="278"/>
        </w:trPr>
        <w:tc>
          <w:tcPr>
            <w:tcW w:w="1360" w:type="dxa"/>
            <w:vAlign w:val="bottom"/>
            <w:shd w:val="clear" w:color="auto" w:fill="E5FFFF"/>
          </w:tcPr>
          <w:p>
            <w:pPr>
              <w:ind w:left="160"/>
              <w:spacing w:after="0"/>
              <w:rPr>
                <w:sz w:val="20"/>
                <w:szCs w:val="20"/>
                <w:color w:val="auto"/>
              </w:rPr>
            </w:pPr>
            <w:r>
              <w:rPr>
                <w:rFonts w:ascii="Arial" w:cs="Arial" w:eastAsia="Arial" w:hAnsi="Arial"/>
                <w:sz w:val="16"/>
                <w:szCs w:val="16"/>
                <w:color w:val="auto"/>
              </w:rPr>
              <w:t>USA</w:t>
            </w:r>
          </w:p>
        </w:tc>
        <w:tc>
          <w:tcPr>
            <w:tcW w:w="160" w:type="dxa"/>
            <w:vAlign w:val="bottom"/>
            <w:shd w:val="clear" w:color="auto" w:fill="E5FFFF"/>
          </w:tcPr>
          <w:p>
            <w:pPr>
              <w:spacing w:after="0"/>
              <w:rPr>
                <w:sz w:val="24"/>
                <w:szCs w:val="24"/>
                <w:color w:val="auto"/>
              </w:rPr>
            </w:pPr>
          </w:p>
        </w:tc>
        <w:tc>
          <w:tcPr>
            <w:tcW w:w="54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74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76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1280" w:type="dxa"/>
            <w:vAlign w:val="bottom"/>
            <w:shd w:val="clear" w:color="auto" w:fill="E5FFFF"/>
          </w:tcPr>
          <w:p>
            <w:pPr>
              <w:spacing w:after="0"/>
              <w:rPr>
                <w:sz w:val="24"/>
                <w:szCs w:val="24"/>
                <w:color w:val="auto"/>
              </w:rPr>
            </w:pPr>
          </w:p>
        </w:tc>
        <w:tc>
          <w:tcPr>
            <w:tcW w:w="140" w:type="dxa"/>
            <w:vAlign w:val="bottom"/>
            <w:shd w:val="clear" w:color="auto" w:fill="E5FFFF"/>
          </w:tcPr>
          <w:p>
            <w:pPr>
              <w:spacing w:after="0"/>
              <w:rPr>
                <w:sz w:val="24"/>
                <w:szCs w:val="24"/>
                <w:color w:val="auto"/>
              </w:rPr>
            </w:pPr>
          </w:p>
        </w:tc>
        <w:tc>
          <w:tcPr>
            <w:tcW w:w="1100" w:type="dxa"/>
            <w:vAlign w:val="bottom"/>
            <w:shd w:val="clear" w:color="auto" w:fill="E5FFFF"/>
          </w:tcPr>
          <w:p>
            <w:pPr>
              <w:spacing w:after="0"/>
              <w:rPr>
                <w:sz w:val="24"/>
                <w:szCs w:val="24"/>
                <w:color w:val="auto"/>
              </w:rPr>
            </w:pPr>
          </w:p>
        </w:tc>
        <w:tc>
          <w:tcPr>
            <w:tcW w:w="160" w:type="dxa"/>
            <w:vAlign w:val="bottom"/>
            <w:shd w:val="clear" w:color="auto" w:fill="E5FFFF"/>
          </w:tcPr>
          <w:p>
            <w:pPr>
              <w:spacing w:after="0"/>
              <w:rPr>
                <w:sz w:val="24"/>
                <w:szCs w:val="24"/>
                <w:color w:val="auto"/>
              </w:rPr>
            </w:pPr>
          </w:p>
        </w:tc>
        <w:tc>
          <w:tcPr>
            <w:tcW w:w="1220" w:type="dxa"/>
            <w:vAlign w:val="bottom"/>
            <w:shd w:val="clear" w:color="auto" w:fill="E5FFFF"/>
          </w:tcPr>
          <w:p>
            <w:pPr>
              <w:spacing w:after="0"/>
              <w:rPr>
                <w:sz w:val="24"/>
                <w:szCs w:val="24"/>
                <w:color w:val="auto"/>
              </w:rPr>
            </w:pPr>
          </w:p>
        </w:tc>
        <w:tc>
          <w:tcPr>
            <w:tcW w:w="100" w:type="dxa"/>
            <w:vAlign w:val="bottom"/>
            <w:shd w:val="clear" w:color="auto" w:fill="E5FFFF"/>
          </w:tcPr>
          <w:p>
            <w:pPr>
              <w:spacing w:after="0"/>
              <w:rPr>
                <w:sz w:val="24"/>
                <w:szCs w:val="24"/>
                <w:color w:val="auto"/>
              </w:rPr>
            </w:pPr>
          </w:p>
        </w:tc>
        <w:tc>
          <w:tcPr>
            <w:tcW w:w="860" w:type="dxa"/>
            <w:vAlign w:val="bottom"/>
            <w:shd w:val="clear" w:color="auto" w:fill="E5FFFF"/>
          </w:tcPr>
          <w:p>
            <w:pPr>
              <w:spacing w:after="0"/>
              <w:rPr>
                <w:sz w:val="24"/>
                <w:szCs w:val="24"/>
                <w:color w:val="auto"/>
              </w:rPr>
            </w:pPr>
          </w:p>
        </w:tc>
        <w:tc>
          <w:tcPr>
            <w:tcW w:w="120" w:type="dxa"/>
            <w:vAlign w:val="bottom"/>
            <w:shd w:val="clear" w:color="auto" w:fill="E5FFFF"/>
          </w:tcPr>
          <w:p>
            <w:pPr>
              <w:spacing w:after="0"/>
              <w:rPr>
                <w:sz w:val="24"/>
                <w:szCs w:val="24"/>
                <w:color w:val="auto"/>
              </w:rPr>
            </w:pPr>
          </w:p>
        </w:tc>
      </w:tr>
      <w:tr>
        <w:trPr>
          <w:trHeight w:val="262"/>
        </w:trPr>
        <w:tc>
          <w:tcPr>
            <w:tcW w:w="1360" w:type="dxa"/>
            <w:vAlign w:val="bottom"/>
          </w:tcPr>
          <w:p>
            <w:pPr>
              <w:ind w:left="20"/>
              <w:spacing w:after="0"/>
              <w:rPr>
                <w:sz w:val="20"/>
                <w:szCs w:val="20"/>
                <w:color w:val="auto"/>
              </w:rPr>
            </w:pPr>
            <w:r>
              <w:rPr>
                <w:rFonts w:ascii="Arial" w:cs="Arial" w:eastAsia="Arial" w:hAnsi="Arial"/>
                <w:sz w:val="16"/>
                <w:szCs w:val="16"/>
                <w:color w:val="auto"/>
              </w:rPr>
              <w:t>Ronald Halls</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2007</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650,000</w:t>
            </w:r>
          </w:p>
        </w:tc>
        <w:tc>
          <w:tcPr>
            <w:tcW w:w="160" w:type="dxa"/>
            <w:vAlign w:val="bottom"/>
          </w:tcPr>
          <w:p>
            <w:pPr>
              <w:spacing w:after="0"/>
              <w:rPr>
                <w:sz w:val="22"/>
                <w:szCs w:val="22"/>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537,128</w:t>
            </w:r>
          </w:p>
        </w:tc>
        <w:tc>
          <w:tcPr>
            <w:tcW w:w="900" w:type="dxa"/>
            <w:vAlign w:val="bottom"/>
            <w:gridSpan w:val="2"/>
          </w:tcPr>
          <w:p>
            <w:pPr>
              <w:ind w:left="300"/>
              <w:spacing w:after="0"/>
              <w:rPr>
                <w:sz w:val="20"/>
                <w:szCs w:val="20"/>
                <w:color w:val="auto"/>
              </w:rPr>
            </w:pPr>
            <w:r>
              <w:rPr>
                <w:rFonts w:ascii="Arial" w:cs="Arial" w:eastAsia="Arial" w:hAnsi="Arial"/>
                <w:sz w:val="16"/>
                <w:szCs w:val="16"/>
                <w:color w:val="auto"/>
              </w:rPr>
              <w:t>278,443</w:t>
            </w:r>
          </w:p>
        </w:tc>
        <w:tc>
          <w:tcPr>
            <w:tcW w:w="160" w:type="dxa"/>
            <w:vAlign w:val="bottom"/>
          </w:tcPr>
          <w:p>
            <w:pPr>
              <w:spacing w:after="0"/>
              <w:rPr>
                <w:sz w:val="22"/>
                <w:szCs w:val="22"/>
                <w:color w:val="auto"/>
              </w:rPr>
            </w:pP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81"/>
              <w:spacing w:after="0"/>
              <w:rPr>
                <w:sz w:val="20"/>
                <w:szCs w:val="20"/>
                <w:color w:val="auto"/>
              </w:rPr>
            </w:pPr>
            <w:r>
              <w:rPr>
                <w:rFonts w:ascii="Arial" w:cs="Arial" w:eastAsia="Arial" w:hAnsi="Arial"/>
                <w:sz w:val="16"/>
                <w:szCs w:val="16"/>
                <w:color w:val="auto"/>
              </w:rPr>
              <w:t>50,217</w:t>
            </w:r>
          </w:p>
        </w:tc>
        <w:tc>
          <w:tcPr>
            <w:tcW w:w="1380" w:type="dxa"/>
            <w:vAlign w:val="bottom"/>
            <w:gridSpan w:val="2"/>
          </w:tcPr>
          <w:p>
            <w:pPr>
              <w:jc w:val="right"/>
              <w:ind w:right="61"/>
              <w:spacing w:after="0"/>
              <w:rPr>
                <w:sz w:val="20"/>
                <w:szCs w:val="20"/>
                <w:color w:val="auto"/>
              </w:rPr>
            </w:pPr>
            <w:r>
              <w:rPr>
                <w:rFonts w:ascii="Arial" w:cs="Arial" w:eastAsia="Arial" w:hAnsi="Arial"/>
                <w:sz w:val="16"/>
                <w:szCs w:val="16"/>
                <w:color w:val="auto"/>
              </w:rPr>
              <w:t>292,142</w:t>
            </w:r>
          </w:p>
        </w:tc>
        <w:tc>
          <w:tcPr>
            <w:tcW w:w="960" w:type="dxa"/>
            <w:vAlign w:val="bottom"/>
            <w:gridSpan w:val="2"/>
          </w:tcPr>
          <w:p>
            <w:pPr>
              <w:jc w:val="right"/>
              <w:ind w:right="21"/>
              <w:spacing w:after="0"/>
              <w:rPr>
                <w:sz w:val="20"/>
                <w:szCs w:val="20"/>
                <w:color w:val="auto"/>
              </w:rPr>
            </w:pPr>
            <w:r>
              <w:rPr>
                <w:rFonts w:ascii="Arial" w:cs="Arial" w:eastAsia="Arial" w:hAnsi="Arial"/>
                <w:sz w:val="16"/>
                <w:szCs w:val="16"/>
                <w:color w:val="auto"/>
              </w:rPr>
              <w:t>1,807,930</w:t>
            </w:r>
          </w:p>
        </w:tc>
        <w:tc>
          <w:tcPr>
            <w:tcW w:w="120" w:type="dxa"/>
            <w:vAlign w:val="bottom"/>
          </w:tcPr>
          <w:p>
            <w:pPr>
              <w:spacing w:after="0"/>
              <w:rPr>
                <w:sz w:val="22"/>
                <w:szCs w:val="22"/>
                <w:color w:val="auto"/>
              </w:rPr>
            </w:pPr>
          </w:p>
        </w:tc>
      </w:tr>
      <w:tr>
        <w:trPr>
          <w:trHeight w:val="177"/>
        </w:trPr>
        <w:tc>
          <w:tcPr>
            <w:tcW w:w="1360" w:type="dxa"/>
            <w:vAlign w:val="bottom"/>
          </w:tcPr>
          <w:p>
            <w:pPr>
              <w:ind w:left="160"/>
              <w:spacing w:after="0" w:line="178" w:lineRule="exact"/>
              <w:rPr>
                <w:sz w:val="20"/>
                <w:szCs w:val="20"/>
                <w:color w:val="auto"/>
              </w:rPr>
            </w:pPr>
            <w:r>
              <w:rPr>
                <w:rFonts w:ascii="Arial" w:cs="Arial" w:eastAsia="Arial" w:hAnsi="Arial"/>
                <w:sz w:val="16"/>
                <w:szCs w:val="16"/>
                <w:color w:val="auto"/>
              </w:rPr>
              <w:t>President and</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1"/>
        </w:trPr>
        <w:tc>
          <w:tcPr>
            <w:tcW w:w="1360" w:type="dxa"/>
            <w:vAlign w:val="bottom"/>
          </w:tcPr>
          <w:p>
            <w:pPr>
              <w:ind w:left="300"/>
              <w:spacing w:after="0"/>
              <w:rPr>
                <w:sz w:val="20"/>
                <w:szCs w:val="20"/>
                <w:color w:val="auto"/>
              </w:rPr>
            </w:pPr>
            <w:r>
              <w:rPr>
                <w:rFonts w:ascii="Arial" w:cs="Arial" w:eastAsia="Arial" w:hAnsi="Arial"/>
                <w:sz w:val="16"/>
                <w:szCs w:val="16"/>
                <w:color w:val="auto"/>
              </w:rPr>
              <w:t>CEO–</w:t>
            </w:r>
          </w:p>
        </w:tc>
        <w:tc>
          <w:tcPr>
            <w:tcW w:w="700" w:type="dxa"/>
            <w:vAlign w:val="bottom"/>
            <w:gridSpan w:val="2"/>
          </w:tcPr>
          <w:p>
            <w:pPr>
              <w:jc w:val="right"/>
              <w:ind w:right="1"/>
              <w:spacing w:after="0"/>
              <w:rPr>
                <w:sz w:val="20"/>
                <w:szCs w:val="20"/>
                <w:color w:val="auto"/>
              </w:rPr>
            </w:pPr>
            <w:r>
              <w:rPr>
                <w:rFonts w:ascii="Arial" w:cs="Arial" w:eastAsia="Arial" w:hAnsi="Arial"/>
                <w:sz w:val="16"/>
                <w:szCs w:val="16"/>
                <w:color w:val="auto"/>
              </w:rPr>
              <w:t>2006</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528,409</w:t>
            </w:r>
          </w:p>
        </w:tc>
        <w:tc>
          <w:tcPr>
            <w:tcW w:w="900" w:type="dxa"/>
            <w:vAlign w:val="bottom"/>
            <w:gridSpan w:val="2"/>
          </w:tcPr>
          <w:p>
            <w:pPr>
              <w:jc w:val="right"/>
              <w:ind w:right="21"/>
              <w:spacing w:after="0"/>
              <w:rPr>
                <w:sz w:val="20"/>
                <w:szCs w:val="20"/>
                <w:color w:val="auto"/>
              </w:rPr>
            </w:pPr>
            <w:r>
              <w:rPr>
                <w:rFonts w:ascii="Arial" w:cs="Arial" w:eastAsia="Arial" w:hAnsi="Arial"/>
                <w:sz w:val="16"/>
                <w:szCs w:val="16"/>
                <w:color w:val="auto"/>
              </w:rPr>
              <w:t>250,000</w:t>
            </w:r>
          </w:p>
        </w:tc>
        <w:tc>
          <w:tcPr>
            <w:tcW w:w="1020" w:type="dxa"/>
            <w:vAlign w:val="bottom"/>
            <w:gridSpan w:val="2"/>
          </w:tcPr>
          <w:p>
            <w:pPr>
              <w:jc w:val="right"/>
              <w:ind w:right="21"/>
              <w:spacing w:after="0"/>
              <w:rPr>
                <w:sz w:val="20"/>
                <w:szCs w:val="20"/>
                <w:color w:val="auto"/>
              </w:rPr>
            </w:pPr>
            <w:r>
              <w:rPr>
                <w:rFonts w:ascii="Arial" w:cs="Arial" w:eastAsia="Arial" w:hAnsi="Arial"/>
                <w:sz w:val="16"/>
                <w:szCs w:val="16"/>
                <w:color w:val="auto"/>
              </w:rPr>
              <w:t>215,406</w:t>
            </w:r>
          </w:p>
        </w:tc>
        <w:tc>
          <w:tcPr>
            <w:tcW w:w="900" w:type="dxa"/>
            <w:vAlign w:val="bottom"/>
            <w:gridSpan w:val="2"/>
          </w:tcPr>
          <w:p>
            <w:pPr>
              <w:ind w:left="300"/>
              <w:spacing w:after="0"/>
              <w:rPr>
                <w:sz w:val="20"/>
                <w:szCs w:val="20"/>
                <w:color w:val="auto"/>
              </w:rPr>
            </w:pPr>
            <w:r>
              <w:rPr>
                <w:rFonts w:ascii="Arial" w:cs="Arial" w:eastAsia="Arial" w:hAnsi="Arial"/>
                <w:sz w:val="16"/>
                <w:szCs w:val="16"/>
                <w:color w:val="auto"/>
              </w:rPr>
              <w:t>226,254</w:t>
            </w:r>
          </w:p>
        </w:tc>
        <w:tc>
          <w:tcPr>
            <w:tcW w:w="1440" w:type="dxa"/>
            <w:vAlign w:val="bottom"/>
            <w:gridSpan w:val="2"/>
          </w:tcPr>
          <w:p>
            <w:pPr>
              <w:jc w:val="right"/>
              <w:ind w:right="81"/>
              <w:spacing w:after="0"/>
              <w:rPr>
                <w:sz w:val="20"/>
                <w:szCs w:val="20"/>
                <w:color w:val="auto"/>
              </w:rPr>
            </w:pPr>
            <w:r>
              <w:rPr>
                <w:rFonts w:ascii="Arial" w:cs="Arial" w:eastAsia="Arial" w:hAnsi="Arial"/>
                <w:sz w:val="16"/>
                <w:szCs w:val="16"/>
                <w:color w:val="auto"/>
              </w:rPr>
              <w:t>141,252</w:t>
            </w:r>
          </w:p>
        </w:tc>
        <w:tc>
          <w:tcPr>
            <w:tcW w:w="1240" w:type="dxa"/>
            <w:vAlign w:val="bottom"/>
            <w:gridSpan w:val="2"/>
          </w:tcPr>
          <w:p>
            <w:pPr>
              <w:jc w:val="right"/>
              <w:ind w:right="81"/>
              <w:spacing w:after="0"/>
              <w:rPr>
                <w:sz w:val="20"/>
                <w:szCs w:val="20"/>
                <w:color w:val="auto"/>
              </w:rPr>
            </w:pPr>
            <w:r>
              <w:rPr>
                <w:rFonts w:ascii="Arial" w:cs="Arial" w:eastAsia="Arial" w:hAnsi="Arial"/>
                <w:sz w:val="16"/>
                <w:szCs w:val="16"/>
                <w:color w:val="auto"/>
              </w:rPr>
              <w:t>47,111</w:t>
            </w:r>
          </w:p>
        </w:tc>
        <w:tc>
          <w:tcPr>
            <w:tcW w:w="1380" w:type="dxa"/>
            <w:vAlign w:val="bottom"/>
            <w:gridSpan w:val="2"/>
          </w:tcPr>
          <w:p>
            <w:pPr>
              <w:jc w:val="right"/>
              <w:ind w:right="61"/>
              <w:spacing w:after="0"/>
              <w:rPr>
                <w:sz w:val="20"/>
                <w:szCs w:val="20"/>
                <w:color w:val="auto"/>
              </w:rPr>
            </w:pPr>
            <w:r>
              <w:rPr>
                <w:rFonts w:ascii="Arial" w:cs="Arial" w:eastAsia="Arial" w:hAnsi="Arial"/>
                <w:sz w:val="16"/>
                <w:szCs w:val="16"/>
                <w:color w:val="auto"/>
              </w:rPr>
              <w:t>29,119</w:t>
            </w:r>
          </w:p>
        </w:tc>
        <w:tc>
          <w:tcPr>
            <w:tcW w:w="960" w:type="dxa"/>
            <w:vAlign w:val="bottom"/>
            <w:gridSpan w:val="2"/>
          </w:tcPr>
          <w:p>
            <w:pPr>
              <w:jc w:val="right"/>
              <w:ind w:right="21"/>
              <w:spacing w:after="0"/>
              <w:rPr>
                <w:sz w:val="20"/>
                <w:szCs w:val="20"/>
                <w:color w:val="auto"/>
              </w:rPr>
            </w:pPr>
            <w:r>
              <w:rPr>
                <w:rFonts w:ascii="Arial" w:cs="Arial" w:eastAsia="Arial" w:hAnsi="Arial"/>
                <w:sz w:val="16"/>
                <w:szCs w:val="16"/>
                <w:color w:val="auto"/>
              </w:rPr>
              <w:t>1,437,551</w:t>
            </w:r>
          </w:p>
        </w:tc>
        <w:tc>
          <w:tcPr>
            <w:tcW w:w="120" w:type="dxa"/>
            <w:vAlign w:val="bottom"/>
          </w:tcPr>
          <w:p>
            <w:pPr>
              <w:spacing w:after="0"/>
              <w:rPr>
                <w:sz w:val="17"/>
                <w:szCs w:val="17"/>
                <w:color w:val="auto"/>
              </w:rPr>
            </w:pPr>
          </w:p>
        </w:tc>
      </w:tr>
      <w:tr>
        <w:trPr>
          <w:trHeight w:val="270"/>
        </w:trPr>
        <w:tc>
          <w:tcPr>
            <w:tcW w:w="1360" w:type="dxa"/>
            <w:vAlign w:val="bottom"/>
          </w:tcPr>
          <w:p>
            <w:pPr>
              <w:ind w:left="160"/>
              <w:spacing w:after="0"/>
              <w:rPr>
                <w:sz w:val="20"/>
                <w:szCs w:val="20"/>
                <w:color w:val="auto"/>
              </w:rPr>
            </w:pPr>
            <w:r>
              <w:rPr>
                <w:rFonts w:ascii="Arial" w:cs="Arial" w:eastAsia="Arial" w:hAnsi="Arial"/>
                <w:sz w:val="16"/>
                <w:szCs w:val="16"/>
                <w:color w:val="auto"/>
                <w:w w:val="92"/>
              </w:rPr>
              <w:t>Foot Locker, Inc.–</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4"/>
        </w:trPr>
        <w:tc>
          <w:tcPr>
            <w:tcW w:w="1360" w:type="dxa"/>
            <w:vAlign w:val="bottom"/>
          </w:tcPr>
          <w:p>
            <w:pPr>
              <w:ind w:left="160"/>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4"/>
        </w:trPr>
        <w:tc>
          <w:tcPr>
            <w:tcW w:w="1360" w:type="dxa"/>
            <w:vAlign w:val="bottom"/>
            <w:shd w:val="clear" w:color="auto" w:fill="E5FFFF"/>
          </w:tcPr>
          <w:p>
            <w:pPr>
              <w:ind w:left="20"/>
              <w:spacing w:after="0"/>
              <w:rPr>
                <w:sz w:val="20"/>
                <w:szCs w:val="20"/>
                <w:color w:val="auto"/>
              </w:rPr>
            </w:pPr>
            <w:r>
              <w:rPr>
                <w:rFonts w:ascii="Arial" w:cs="Arial" w:eastAsia="Arial" w:hAnsi="Arial"/>
                <w:sz w:val="16"/>
                <w:szCs w:val="16"/>
                <w:color w:val="auto"/>
              </w:rPr>
              <w:t>Gary Bahler</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2007</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524,975</w:t>
            </w:r>
          </w:p>
        </w:tc>
        <w:tc>
          <w:tcPr>
            <w:tcW w:w="160" w:type="dxa"/>
            <w:vAlign w:val="bottom"/>
            <w:shd w:val="clear" w:color="auto" w:fill="E5FFFF"/>
          </w:tcPr>
          <w:p>
            <w:pPr>
              <w:spacing w:after="0"/>
              <w:rPr>
                <w:sz w:val="23"/>
                <w:szCs w:val="23"/>
                <w:color w:val="auto"/>
              </w:rPr>
            </w:pPr>
          </w:p>
        </w:tc>
        <w:tc>
          <w:tcPr>
            <w:tcW w:w="74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302,531</w:t>
            </w:r>
          </w:p>
        </w:tc>
        <w:tc>
          <w:tcPr>
            <w:tcW w:w="900" w:type="dxa"/>
            <w:vAlign w:val="bottom"/>
            <w:gridSpan w:val="2"/>
            <w:shd w:val="clear" w:color="auto" w:fill="E5FFFF"/>
          </w:tcPr>
          <w:p>
            <w:pPr>
              <w:ind w:left="300"/>
              <w:spacing w:after="0"/>
              <w:rPr>
                <w:sz w:val="20"/>
                <w:szCs w:val="20"/>
                <w:color w:val="auto"/>
              </w:rPr>
            </w:pPr>
            <w:r>
              <w:rPr>
                <w:rFonts w:ascii="Arial" w:cs="Arial" w:eastAsia="Arial" w:hAnsi="Arial"/>
                <w:sz w:val="16"/>
                <w:szCs w:val="16"/>
                <w:color w:val="auto"/>
              </w:rPr>
              <w:t>138,485</w:t>
            </w:r>
          </w:p>
        </w:tc>
        <w:tc>
          <w:tcPr>
            <w:tcW w:w="160" w:type="dxa"/>
            <w:vAlign w:val="bottom"/>
            <w:shd w:val="clear" w:color="auto" w:fill="E5FFFF"/>
          </w:tcPr>
          <w:p>
            <w:pPr>
              <w:spacing w:after="0"/>
              <w:rPr>
                <w:sz w:val="23"/>
                <w:szCs w:val="23"/>
                <w:color w:val="auto"/>
              </w:rPr>
            </w:pPr>
          </w:p>
        </w:tc>
        <w:tc>
          <w:tcPr>
            <w:tcW w:w="1280" w:type="dxa"/>
            <w:vAlign w:val="bottom"/>
            <w:shd w:val="clear" w:color="auto" w:fill="E5FFFF"/>
          </w:tcPr>
          <w:p>
            <w:pPr>
              <w:jc w:val="right"/>
              <w:ind w:right="81"/>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92,659</w:t>
            </w:r>
          </w:p>
        </w:tc>
        <w:tc>
          <w:tcPr>
            <w:tcW w:w="13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36,080</w:t>
            </w:r>
          </w:p>
        </w:tc>
        <w:tc>
          <w:tcPr>
            <w:tcW w:w="96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1,094,730</w:t>
            </w:r>
          </w:p>
        </w:tc>
        <w:tc>
          <w:tcPr>
            <w:tcW w:w="120" w:type="dxa"/>
            <w:vAlign w:val="bottom"/>
            <w:shd w:val="clear" w:color="auto" w:fill="E5FFFF"/>
          </w:tcPr>
          <w:p>
            <w:pPr>
              <w:spacing w:after="0"/>
              <w:rPr>
                <w:sz w:val="23"/>
                <w:szCs w:val="23"/>
                <w:color w:val="auto"/>
              </w:rPr>
            </w:pPr>
          </w:p>
        </w:tc>
      </w:tr>
      <w:tr>
        <w:trPr>
          <w:trHeight w:val="169"/>
        </w:trPr>
        <w:tc>
          <w:tcPr>
            <w:tcW w:w="1360" w:type="dxa"/>
            <w:vAlign w:val="bottom"/>
          </w:tcPr>
          <w:p>
            <w:pPr>
              <w:ind w:left="160"/>
              <w:spacing w:after="0" w:line="169" w:lineRule="exact"/>
              <w:rPr>
                <w:sz w:val="20"/>
                <w:szCs w:val="20"/>
                <w:color w:val="auto"/>
              </w:rPr>
            </w:pPr>
            <w:r>
              <w:rPr>
                <w:rFonts w:ascii="Arial" w:cs="Arial" w:eastAsia="Arial" w:hAnsi="Arial"/>
                <w:sz w:val="16"/>
                <w:szCs w:val="16"/>
                <w:color w:val="auto"/>
              </w:rPr>
              <w:t>Senior VP,</w:t>
            </w:r>
          </w:p>
        </w:tc>
        <w:tc>
          <w:tcPr>
            <w:tcW w:w="160" w:type="dxa"/>
            <w:vAlign w:val="bottom"/>
            <w:shd w:val="clear" w:color="auto" w:fill="E5FFFF"/>
          </w:tcPr>
          <w:p>
            <w:pPr>
              <w:spacing w:after="0"/>
              <w:rPr>
                <w:sz w:val="14"/>
                <w:szCs w:val="14"/>
                <w:color w:val="auto"/>
              </w:rPr>
            </w:pPr>
          </w:p>
        </w:tc>
        <w:tc>
          <w:tcPr>
            <w:tcW w:w="54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74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86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76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28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10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122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86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r>
      <w:tr>
        <w:trPr>
          <w:trHeight w:val="209"/>
        </w:trPr>
        <w:tc>
          <w:tcPr>
            <w:tcW w:w="1360" w:type="dxa"/>
            <w:vAlign w:val="bottom"/>
          </w:tcPr>
          <w:p>
            <w:pPr>
              <w:ind w:left="300"/>
              <w:spacing w:after="0"/>
              <w:rPr>
                <w:sz w:val="20"/>
                <w:szCs w:val="20"/>
                <w:color w:val="auto"/>
              </w:rPr>
            </w:pPr>
            <w:r>
              <w:rPr>
                <w:rFonts w:ascii="Arial" w:cs="Arial" w:eastAsia="Arial" w:hAnsi="Arial"/>
                <w:sz w:val="16"/>
                <w:szCs w:val="16"/>
                <w:color w:val="auto"/>
              </w:rPr>
              <w:t>General</w:t>
            </w:r>
          </w:p>
        </w:tc>
        <w:tc>
          <w:tcPr>
            <w:tcW w:w="70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2006</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517,400</w:t>
            </w:r>
          </w:p>
        </w:tc>
        <w:tc>
          <w:tcPr>
            <w:tcW w:w="160" w:type="dxa"/>
            <w:vAlign w:val="bottom"/>
            <w:shd w:val="clear" w:color="auto" w:fill="E5FFFF"/>
          </w:tcPr>
          <w:p>
            <w:pPr>
              <w:spacing w:after="0"/>
              <w:rPr>
                <w:sz w:val="18"/>
                <w:szCs w:val="18"/>
                <w:color w:val="auto"/>
              </w:rPr>
            </w:pPr>
          </w:p>
        </w:tc>
        <w:tc>
          <w:tcPr>
            <w:tcW w:w="740" w:type="dxa"/>
            <w:vAlign w:val="bottom"/>
            <w:shd w:val="clear" w:color="auto" w:fill="E5FF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270,925</w:t>
            </w:r>
          </w:p>
        </w:tc>
        <w:tc>
          <w:tcPr>
            <w:tcW w:w="900" w:type="dxa"/>
            <w:vAlign w:val="bottom"/>
            <w:gridSpan w:val="2"/>
            <w:shd w:val="clear" w:color="auto" w:fill="E5FFFF"/>
          </w:tcPr>
          <w:p>
            <w:pPr>
              <w:ind w:left="300"/>
              <w:spacing w:after="0"/>
              <w:rPr>
                <w:sz w:val="20"/>
                <w:szCs w:val="20"/>
                <w:color w:val="auto"/>
              </w:rPr>
            </w:pPr>
            <w:r>
              <w:rPr>
                <w:rFonts w:ascii="Arial" w:cs="Arial" w:eastAsia="Arial" w:hAnsi="Arial"/>
                <w:sz w:val="16"/>
                <w:szCs w:val="16"/>
                <w:color w:val="auto"/>
              </w:rPr>
              <w:t>177,051</w:t>
            </w:r>
          </w:p>
        </w:tc>
        <w:tc>
          <w:tcPr>
            <w:tcW w:w="14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380,724</w:t>
            </w:r>
          </w:p>
        </w:tc>
        <w:tc>
          <w:tcPr>
            <w:tcW w:w="1240" w:type="dxa"/>
            <w:vAlign w:val="bottom"/>
            <w:gridSpan w:val="2"/>
            <w:shd w:val="clear" w:color="auto" w:fill="E5FFFF"/>
          </w:tcPr>
          <w:p>
            <w:pPr>
              <w:jc w:val="right"/>
              <w:ind w:right="81"/>
              <w:spacing w:after="0"/>
              <w:rPr>
                <w:sz w:val="20"/>
                <w:szCs w:val="20"/>
                <w:color w:val="auto"/>
              </w:rPr>
            </w:pPr>
            <w:r>
              <w:rPr>
                <w:rFonts w:ascii="Arial" w:cs="Arial" w:eastAsia="Arial" w:hAnsi="Arial"/>
                <w:sz w:val="16"/>
                <w:szCs w:val="16"/>
                <w:color w:val="auto"/>
              </w:rPr>
              <w:t>86,081</w:t>
            </w:r>
          </w:p>
        </w:tc>
        <w:tc>
          <w:tcPr>
            <w:tcW w:w="1380" w:type="dxa"/>
            <w:vAlign w:val="bottom"/>
            <w:gridSpan w:val="2"/>
            <w:shd w:val="clear" w:color="auto" w:fill="E5FFFF"/>
          </w:tcPr>
          <w:p>
            <w:pPr>
              <w:jc w:val="right"/>
              <w:ind w:right="61"/>
              <w:spacing w:after="0"/>
              <w:rPr>
                <w:sz w:val="20"/>
                <w:szCs w:val="20"/>
                <w:color w:val="auto"/>
              </w:rPr>
            </w:pPr>
            <w:r>
              <w:rPr>
                <w:rFonts w:ascii="Arial" w:cs="Arial" w:eastAsia="Arial" w:hAnsi="Arial"/>
                <w:sz w:val="16"/>
                <w:szCs w:val="16"/>
                <w:color w:val="auto"/>
              </w:rPr>
              <w:t>32,604</w:t>
            </w:r>
          </w:p>
        </w:tc>
        <w:tc>
          <w:tcPr>
            <w:tcW w:w="960" w:type="dxa"/>
            <w:vAlign w:val="bottom"/>
            <w:gridSpan w:val="2"/>
            <w:shd w:val="clear" w:color="auto" w:fill="E5FFFF"/>
          </w:tcPr>
          <w:p>
            <w:pPr>
              <w:jc w:val="right"/>
              <w:ind w:right="21"/>
              <w:spacing w:after="0"/>
              <w:rPr>
                <w:sz w:val="20"/>
                <w:szCs w:val="20"/>
                <w:color w:val="auto"/>
              </w:rPr>
            </w:pPr>
            <w:r>
              <w:rPr>
                <w:rFonts w:ascii="Arial" w:cs="Arial" w:eastAsia="Arial" w:hAnsi="Arial"/>
                <w:sz w:val="16"/>
                <w:szCs w:val="16"/>
                <w:color w:val="auto"/>
              </w:rPr>
              <w:t>1,464,785</w:t>
            </w:r>
          </w:p>
        </w:tc>
        <w:tc>
          <w:tcPr>
            <w:tcW w:w="120" w:type="dxa"/>
            <w:vAlign w:val="bottom"/>
            <w:shd w:val="clear" w:color="auto" w:fill="E5FFFF"/>
          </w:tcPr>
          <w:p>
            <w:pPr>
              <w:spacing w:after="0"/>
              <w:rPr>
                <w:sz w:val="18"/>
                <w:szCs w:val="18"/>
                <w:color w:val="auto"/>
              </w:rPr>
            </w:pPr>
          </w:p>
        </w:tc>
      </w:tr>
    </w:tbl>
    <w:p>
      <w:pPr>
        <w:jc w:val="right"/>
        <w:ind w:right="10320"/>
        <w:spacing w:after="0"/>
        <w:rPr>
          <w:sz w:val="20"/>
          <w:szCs w:val="20"/>
          <w:color w:val="auto"/>
        </w:rPr>
      </w:pPr>
      <w:r>
        <w:rPr>
          <w:rFonts w:ascii="Arial" w:cs="Arial" w:eastAsia="Arial" w:hAnsi="Arial"/>
          <w:sz w:val="16"/>
          <w:szCs w:val="16"/>
          <w:color w:val="auto"/>
        </w:rPr>
        <w:t>Counsel and</w:t>
      </w:r>
    </w:p>
    <w:p>
      <w:pPr>
        <w:jc w:val="right"/>
        <w:ind w:right="10360"/>
        <w:spacing w:after="0"/>
        <w:rPr>
          <w:sz w:val="20"/>
          <w:szCs w:val="20"/>
          <w:color w:val="auto"/>
        </w:rPr>
      </w:pPr>
      <w:r>
        <w:rPr>
          <w:rFonts w:ascii="Arial" w:cs="Arial" w:eastAsia="Arial" w:hAnsi="Arial"/>
          <w:sz w:val="16"/>
          <w:szCs w:val="16"/>
          <w:color w:val="auto"/>
        </w:rPr>
        <w:t>Secretary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Summary Compensation Table</w:t>
      </w:r>
    </w:p>
    <w:p>
      <w:pPr>
        <w:spacing w:after="0" w:line="173" w:lineRule="exact"/>
        <w:rPr>
          <w:sz w:val="20"/>
          <w:szCs w:val="20"/>
          <w:color w:val="auto"/>
        </w:rPr>
      </w:pPr>
    </w:p>
    <w:p>
      <w:pPr>
        <w:ind w:left="420" w:right="160" w:hanging="314"/>
        <w:spacing w:after="0" w:line="283" w:lineRule="auto"/>
        <w:tabs>
          <w:tab w:leader="none" w:pos="4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Ronald Halls has served as President and Chief Executive Officer of Foot Locker, Inc.—International since October 9, 2006. Previously, he was President and Chief Executive Officer of the Company’s Champs Sports division.</w:t>
      </w:r>
    </w:p>
    <w:p>
      <w:pPr>
        <w:spacing w:after="0" w:line="65" w:lineRule="exact"/>
        <w:rPr>
          <w:rFonts w:ascii="Arial" w:cs="Arial" w:eastAsia="Arial" w:hAnsi="Arial"/>
          <w:sz w:val="19"/>
          <w:szCs w:val="19"/>
          <w:color w:val="auto"/>
        </w:rPr>
      </w:pPr>
    </w:p>
    <w:p>
      <w:pPr>
        <w:ind w:left="420" w:hanging="314"/>
        <w:spacing w:after="0"/>
        <w:tabs>
          <w:tab w:leader="none" w:pos="4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Guaranteed retention bonus paid to executive for 2006.</w:t>
      </w:r>
    </w:p>
    <w:p>
      <w:pPr>
        <w:spacing w:after="0" w:line="132" w:lineRule="exact"/>
        <w:rPr>
          <w:rFonts w:ascii="Arial" w:cs="Arial" w:eastAsia="Arial" w:hAnsi="Arial"/>
          <w:sz w:val="19"/>
          <w:szCs w:val="19"/>
          <w:color w:val="auto"/>
        </w:rPr>
      </w:pPr>
    </w:p>
    <w:p>
      <w:pPr>
        <w:ind w:left="420" w:hanging="314"/>
        <w:spacing w:after="0" w:line="273"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 this column represent the compensation expense recognized for financial statement reporting purposes for the designated fiscal years for the restricted stock awards granted in those years, as well as in prior years, in accordance with FAS 123R. As provided under the SEC’s rules, the amounts shown exclude the impact of estimated forfeitures related to service-based vesting conditions and include expected dividend payments at the same rate as paid on our shares of Common Stock. For more information on the valuation of the restricted stock awards, please refer to Notes 23 and 22, respectively, of the Company’s financial statements in our Forms 10-K filed with the SEC for 2007 and 2006. The amounts shown in the table reflect the Company’s accounting expense for these awards and do not necessarily reflect the actual value that may be recognized by the named executives.</w:t>
      </w:r>
    </w:p>
    <w:p>
      <w:pPr>
        <w:spacing w:after="0" w:line="80" w:lineRule="exact"/>
        <w:rPr>
          <w:rFonts w:ascii="Arial" w:cs="Arial" w:eastAsia="Arial" w:hAnsi="Arial"/>
          <w:sz w:val="18"/>
          <w:szCs w:val="18"/>
          <w:color w:val="auto"/>
        </w:rPr>
      </w:pPr>
    </w:p>
    <w:p>
      <w:pPr>
        <w:ind w:left="420" w:right="140" w:hanging="314"/>
        <w:spacing w:after="0" w:line="256" w:lineRule="auto"/>
        <w:tabs>
          <w:tab w:leader="none" w:pos="4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amounts in this column represent the compensation expense recognized for financial statement reporting purposes for the designated fiscal years for the stock options granted to each of the named executives in those fiscal years, as well as in prior fiscal years, in accordance with FAS 123R. As provided under the SEC’s rules, the amounts shown exclude the impact of estimated forfeitures related to service-based vesting conditions. For additional information on the valuation assumptions with respect to the grants covered in this table, please refer to Notes 23 and 22, respectively, of the Company’s financial statements in our Forms 10-K filed with the SEC for 2007 and 2006. Please also refer to the Grants of Plan-Based Awards Table on Page 31 for information on the options granted in 2007. The amounts shown in the table reflect the Company’s accounting expense for these awards and do not necessarily reflect the actual value that may be recognized by the named executives.</w:t>
      </w:r>
    </w:p>
    <w:p>
      <w:pPr>
        <w:spacing w:after="0" w:line="93" w:lineRule="exact"/>
        <w:rPr>
          <w:rFonts w:ascii="Arial" w:cs="Arial" w:eastAsia="Arial" w:hAnsi="Arial"/>
          <w:sz w:val="19"/>
          <w:szCs w:val="19"/>
          <w:color w:val="auto"/>
        </w:rPr>
      </w:pPr>
    </w:p>
    <w:p>
      <w:pPr>
        <w:ind w:left="420" w:right="840" w:hanging="314"/>
        <w:spacing w:after="0" w:line="283" w:lineRule="auto"/>
        <w:tabs>
          <w:tab w:leader="none" w:pos="4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Amounts shown in column (h) represent the annual change in pension value during each of our last two fiscal years for each of the executives. Please see Page 51 for more information on 2007 pension benefits.</w:t>
      </w:r>
    </w:p>
    <w:p>
      <w:pPr>
        <w:sectPr>
          <w:pgSz w:w="11900" w:h="16838" w:orient="portrait"/>
          <w:cols w:equalWidth="0" w:num="1">
            <w:col w:w="11400"/>
          </w:cols>
          <w:pgMar w:left="240" w:top="120" w:right="259" w:bottom="1440" w:gutter="0" w:footer="0" w:header="0"/>
        </w:sectPr>
      </w:pP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type w:val="continuous"/>
        </w:sectPr>
      </w:pPr>
    </w:p>
    <w:bookmarkStart w:id="34" w:name="page35"/>
    <w:bookmarkEnd w:id="34"/>
    <w:p>
      <w:pPr>
        <w:ind w:left="420" w:right="40" w:hanging="314"/>
        <w:spacing w:after="0" w:line="273"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column includes perquisites, and the amounts attributable to the executives for 2007 are shown in the table below. We valued these perquisites at the incremental cost to the Company of providing the personal benefits to the executives, which represents the actual cost attributable to providing these personal benefits. The amount shown in the table for Mr. Serra’s auto allowance includes the incremental cost to the Company of providing him with the personal use of a driver, who is a full time employee of the Company and who also performs other regular duties for the Company. The amounts shown in the table under the 401(k) Match column represent the dollar value of the Company’s matching contribution under the Foot Locker 401(k) Plan made to the named executive’s account in shares of Common Stock. The shares of stock for the 2007 matching contribution were valued at $13.66 per share.</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427"/>
        </w:trPr>
        <w:tc>
          <w:tcPr>
            <w:tcW w:w="140" w:type="dxa"/>
            <w:vAlign w:val="bottom"/>
            <w:tcBorders>
              <w:top w:val="single" w:sz="8" w:color="auto"/>
              <w:left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Tax</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auto"/>
              <w:right w:val="single" w:sz="8" w:color="auto"/>
            </w:tcBorders>
          </w:tcPr>
          <w:p>
            <w:pPr>
              <w:spacing w:after="0"/>
              <w:rPr>
                <w:sz w:val="24"/>
                <w:szCs w:val="24"/>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Gross-Ups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Relocation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Expense</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Universal</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Medical</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Supp. LTD</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Relocation</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Spousal</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Spousal</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Auto</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Insurance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Expense</w:t>
            </w:r>
          </w:p>
        </w:tc>
        <w:tc>
          <w:tcPr>
            <w:tcW w:w="1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Travel</w:t>
            </w: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Travel</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Insurance</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Executive</w:t>
            </w:r>
          </w:p>
        </w:tc>
        <w:tc>
          <w:tcPr>
            <w:tcW w:w="80" w:type="dxa"/>
            <w:vAlign w:val="bottom"/>
          </w:tcPr>
          <w:p>
            <w:pPr>
              <w:spacing w:after="0"/>
              <w:rPr>
                <w:sz w:val="12"/>
                <w:szCs w:val="12"/>
                <w:color w:val="auto"/>
              </w:rPr>
            </w:pPr>
          </w:p>
        </w:tc>
        <w:tc>
          <w:tcPr>
            <w:tcW w:w="60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rPr>
              <w:t>401(k)</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r>
      <w:tr>
        <w:trPr>
          <w:trHeight w:val="184"/>
        </w:trPr>
        <w:tc>
          <w:tcPr>
            <w:tcW w:w="140" w:type="dxa"/>
            <w:vAlign w:val="bottom"/>
            <w:tcBorders>
              <w:left w:val="single" w:sz="8" w:color="auto"/>
            </w:tcBorders>
          </w:tcPr>
          <w:p>
            <w:pPr>
              <w:spacing w:after="0"/>
              <w:rPr>
                <w:sz w:val="15"/>
                <w:szCs w:val="15"/>
                <w:color w:val="auto"/>
              </w:rPr>
            </w:pPr>
          </w:p>
        </w:tc>
        <w:tc>
          <w:tcPr>
            <w:tcW w:w="9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Planning</w:t>
            </w:r>
          </w:p>
        </w:tc>
        <w:tc>
          <w:tcPr>
            <w:tcW w:w="14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Reimbursement</w:t>
            </w:r>
          </w:p>
        </w:tc>
        <w:tc>
          <w:tcPr>
            <w:tcW w:w="1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Premiums</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1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Premium</w:t>
            </w:r>
          </w:p>
        </w:tc>
        <w:tc>
          <w:tcPr>
            <w:tcW w:w="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Physical</w:t>
            </w: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Match</w:t>
            </w: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right w:val="single" w:sz="8" w:color="auto"/>
            </w:tcBorders>
          </w:tcPr>
          <w:p>
            <w:pPr>
              <w:spacing w:after="0"/>
              <w:rPr>
                <w:sz w:val="15"/>
                <w:szCs w:val="15"/>
                <w:color w:val="auto"/>
              </w:rPr>
            </w:pPr>
          </w:p>
        </w:tc>
      </w:tr>
      <w:tr>
        <w:trPr>
          <w:trHeight w:val="264"/>
        </w:trPr>
        <w:tc>
          <w:tcPr>
            <w:tcW w:w="140" w:type="dxa"/>
            <w:vAlign w:val="bottom"/>
            <w:tcBorders>
              <w:left w:val="single" w:sz="8" w:color="auto"/>
            </w:tcBorders>
          </w:tcPr>
          <w:p>
            <w:pPr>
              <w:spacing w:after="0"/>
              <w:rPr>
                <w:sz w:val="22"/>
                <w:szCs w:val="22"/>
                <w:color w:val="auto"/>
              </w:rPr>
            </w:pPr>
          </w:p>
        </w:tc>
        <w:tc>
          <w:tcPr>
            <w:tcW w:w="940" w:type="dxa"/>
            <w:vAlign w:val="bottom"/>
            <w:shd w:val="clear" w:color="auto" w:fill="E5FFFF"/>
          </w:tcPr>
          <w:p>
            <w:pPr>
              <w:ind w:left="20"/>
              <w:spacing w:after="0"/>
              <w:rPr>
                <w:sz w:val="20"/>
                <w:szCs w:val="20"/>
                <w:color w:val="auto"/>
              </w:rPr>
            </w:pPr>
            <w:r>
              <w:rPr>
                <w:rFonts w:ascii="Arial" w:cs="Arial" w:eastAsia="Arial" w:hAnsi="Arial"/>
                <w:sz w:val="16"/>
                <w:szCs w:val="16"/>
                <w:color w:val="auto"/>
              </w:rPr>
              <w:t>M. Serra</w:t>
            </w:r>
          </w:p>
        </w:tc>
        <w:tc>
          <w:tcPr>
            <w:tcW w:w="86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55,126</w:t>
            </w:r>
          </w:p>
        </w:tc>
        <w:tc>
          <w:tcPr>
            <w:tcW w:w="760" w:type="dxa"/>
            <w:vAlign w:val="bottom"/>
            <w:gridSpan w:val="2"/>
            <w:shd w:val="clear" w:color="auto" w:fill="E5FFFF"/>
          </w:tcPr>
          <w:p>
            <w:pPr>
              <w:jc w:val="right"/>
              <w:ind w:right="46"/>
              <w:spacing w:after="0"/>
              <w:rPr>
                <w:sz w:val="20"/>
                <w:szCs w:val="20"/>
                <w:color w:val="auto"/>
              </w:rPr>
            </w:pPr>
            <w:r>
              <w:rPr>
                <w:rFonts w:ascii="Arial" w:cs="Arial" w:eastAsia="Arial" w:hAnsi="Arial"/>
                <w:sz w:val="16"/>
                <w:szCs w:val="16"/>
                <w:color w:val="auto"/>
              </w:rPr>
              <w:t>5,000</w:t>
            </w:r>
          </w:p>
        </w:tc>
        <w:tc>
          <w:tcPr>
            <w:tcW w:w="120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13,341</w:t>
            </w:r>
          </w:p>
        </w:tc>
        <w:tc>
          <w:tcPr>
            <w:tcW w:w="140" w:type="dxa"/>
            <w:vAlign w:val="bottom"/>
            <w:shd w:val="clear" w:color="auto" w:fill="E5FFFF"/>
          </w:tcPr>
          <w:p>
            <w:pPr>
              <w:spacing w:after="0"/>
              <w:rPr>
                <w:sz w:val="22"/>
                <w:szCs w:val="22"/>
                <w:color w:val="auto"/>
              </w:rPr>
            </w:pPr>
          </w:p>
        </w:tc>
        <w:tc>
          <w:tcPr>
            <w:tcW w:w="720" w:type="dxa"/>
            <w:vAlign w:val="bottom"/>
            <w:shd w:val="clear" w:color="auto" w:fill="E5FFFF"/>
          </w:tcPr>
          <w:p>
            <w:pPr>
              <w:jc w:val="right"/>
              <w:ind w:right="45"/>
              <w:spacing w:after="0"/>
              <w:rPr>
                <w:sz w:val="20"/>
                <w:szCs w:val="20"/>
                <w:color w:val="auto"/>
              </w:rPr>
            </w:pPr>
            <w:r>
              <w:rPr>
                <w:rFonts w:ascii="Arial" w:cs="Arial" w:eastAsia="Arial" w:hAnsi="Arial"/>
                <w:sz w:val="16"/>
                <w:szCs w:val="16"/>
                <w:color w:val="auto"/>
              </w:rPr>
              <w:t>—</w:t>
            </w:r>
          </w:p>
        </w:tc>
        <w:tc>
          <w:tcPr>
            <w:tcW w:w="160" w:type="dxa"/>
            <w:vAlign w:val="bottom"/>
            <w:shd w:val="clear" w:color="auto" w:fill="E5FFFF"/>
          </w:tcPr>
          <w:p>
            <w:pPr>
              <w:spacing w:after="0"/>
              <w:rPr>
                <w:sz w:val="22"/>
                <w:szCs w:val="22"/>
                <w:color w:val="auto"/>
              </w:rPr>
            </w:pPr>
          </w:p>
        </w:tc>
        <w:tc>
          <w:tcPr>
            <w:tcW w:w="1080" w:type="dxa"/>
            <w:vAlign w:val="bottom"/>
            <w:shd w:val="clear" w:color="auto" w:fill="E5FFFF"/>
          </w:tcPr>
          <w:p>
            <w:pPr>
              <w:jc w:val="right"/>
              <w:ind w:right="104"/>
              <w:spacing w:after="0"/>
              <w:rPr>
                <w:sz w:val="20"/>
                <w:szCs w:val="20"/>
                <w:color w:val="auto"/>
              </w:rPr>
            </w:pPr>
            <w:r>
              <w:rPr>
                <w:rFonts w:ascii="Arial" w:cs="Arial" w:eastAsia="Arial" w:hAnsi="Arial"/>
                <w:sz w:val="16"/>
                <w:szCs w:val="16"/>
                <w:color w:val="auto"/>
              </w:rPr>
              <w:t>—</w:t>
            </w:r>
          </w:p>
        </w:tc>
        <w:tc>
          <w:tcPr>
            <w:tcW w:w="140" w:type="dxa"/>
            <w:vAlign w:val="bottom"/>
            <w:shd w:val="clear" w:color="auto" w:fill="E5FFFF"/>
          </w:tcPr>
          <w:p>
            <w:pPr>
              <w:spacing w:after="0"/>
              <w:rPr>
                <w:sz w:val="22"/>
                <w:szCs w:val="22"/>
                <w:color w:val="auto"/>
              </w:rPr>
            </w:pPr>
          </w:p>
        </w:tc>
        <w:tc>
          <w:tcPr>
            <w:tcW w:w="1080" w:type="dxa"/>
            <w:vAlign w:val="bottom"/>
            <w:shd w:val="clear" w:color="auto" w:fill="E5FFFF"/>
          </w:tcPr>
          <w:p>
            <w:pPr>
              <w:jc w:val="right"/>
              <w:ind w:right="84"/>
              <w:spacing w:after="0"/>
              <w:rPr>
                <w:sz w:val="20"/>
                <w:szCs w:val="20"/>
                <w:color w:val="auto"/>
              </w:rPr>
            </w:pPr>
            <w:r>
              <w:rPr>
                <w:rFonts w:ascii="Arial" w:cs="Arial" w:eastAsia="Arial" w:hAnsi="Arial"/>
                <w:sz w:val="16"/>
                <w:szCs w:val="16"/>
                <w:color w:val="auto"/>
              </w:rPr>
              <w:t>—</w:t>
            </w:r>
          </w:p>
        </w:tc>
        <w:tc>
          <w:tcPr>
            <w:tcW w:w="140" w:type="dxa"/>
            <w:vAlign w:val="bottom"/>
            <w:shd w:val="clear" w:color="auto" w:fill="E5FFFF"/>
          </w:tcPr>
          <w:p>
            <w:pPr>
              <w:spacing w:after="0"/>
              <w:rPr>
                <w:sz w:val="22"/>
                <w:szCs w:val="22"/>
                <w:color w:val="auto"/>
              </w:rPr>
            </w:pPr>
          </w:p>
        </w:tc>
        <w:tc>
          <w:tcPr>
            <w:tcW w:w="780" w:type="dxa"/>
            <w:vAlign w:val="bottom"/>
            <w:shd w:val="clear" w:color="auto" w:fill="E5FFFF"/>
          </w:tcPr>
          <w:p>
            <w:pPr>
              <w:jc w:val="right"/>
              <w:ind w:right="26"/>
              <w:spacing w:after="0"/>
              <w:rPr>
                <w:sz w:val="20"/>
                <w:szCs w:val="20"/>
                <w:color w:val="auto"/>
              </w:rPr>
            </w:pPr>
            <w:r>
              <w:rPr>
                <w:rFonts w:ascii="Arial" w:cs="Arial" w:eastAsia="Arial" w:hAnsi="Arial"/>
                <w:sz w:val="16"/>
                <w:szCs w:val="16"/>
                <w:color w:val="auto"/>
              </w:rPr>
              <w:t>—</w:t>
            </w:r>
          </w:p>
        </w:tc>
        <w:tc>
          <w:tcPr>
            <w:tcW w:w="140" w:type="dxa"/>
            <w:vAlign w:val="bottom"/>
            <w:shd w:val="clear" w:color="auto" w:fill="E5FFFF"/>
          </w:tcPr>
          <w:p>
            <w:pPr>
              <w:spacing w:after="0"/>
              <w:rPr>
                <w:sz w:val="22"/>
                <w:szCs w:val="22"/>
                <w:color w:val="auto"/>
              </w:rPr>
            </w:pPr>
          </w:p>
        </w:tc>
        <w:tc>
          <w:tcPr>
            <w:tcW w:w="660" w:type="dxa"/>
            <w:vAlign w:val="bottom"/>
            <w:shd w:val="clear" w:color="auto" w:fill="E5FFFF"/>
          </w:tcPr>
          <w:p>
            <w:pPr>
              <w:jc w:val="right"/>
              <w:ind w:right="25"/>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2"/>
                <w:szCs w:val="22"/>
                <w:color w:val="auto"/>
              </w:rPr>
            </w:pPr>
          </w:p>
        </w:tc>
        <w:tc>
          <w:tcPr>
            <w:tcW w:w="640" w:type="dxa"/>
            <w:vAlign w:val="bottom"/>
            <w:shd w:val="clear" w:color="auto" w:fill="E5FFFF"/>
          </w:tcPr>
          <w:p>
            <w:pPr>
              <w:jc w:val="right"/>
              <w:ind w:right="65"/>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2,250</w:t>
            </w:r>
          </w:p>
        </w:tc>
        <w:tc>
          <w:tcPr>
            <w:tcW w:w="8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75,717</w:t>
            </w:r>
          </w:p>
        </w:tc>
        <w:tc>
          <w:tcPr>
            <w:tcW w:w="240" w:type="dxa"/>
            <w:vAlign w:val="bottom"/>
            <w:tcBorders>
              <w:right w:val="single" w:sz="8" w:color="auto"/>
            </w:tcBorders>
          </w:tcPr>
          <w:p>
            <w:pPr>
              <w:spacing w:after="0"/>
              <w:rPr>
                <w:sz w:val="22"/>
                <w:szCs w:val="22"/>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auto"/>
              </w:rPr>
              <w:t>R. McHugh</w:t>
            </w:r>
          </w:p>
        </w:tc>
        <w:tc>
          <w:tcPr>
            <w:tcW w:w="860" w:type="dxa"/>
            <w:vAlign w:val="bottom"/>
            <w:gridSpan w:val="2"/>
          </w:tcPr>
          <w:p>
            <w:pPr>
              <w:jc w:val="right"/>
              <w:ind w:right="49"/>
              <w:spacing w:after="0"/>
              <w:rPr>
                <w:sz w:val="20"/>
                <w:szCs w:val="20"/>
                <w:color w:val="auto"/>
              </w:rPr>
            </w:pPr>
            <w:r>
              <w:rPr>
                <w:rFonts w:ascii="Arial" w:cs="Arial" w:eastAsia="Arial" w:hAnsi="Arial"/>
                <w:sz w:val="16"/>
                <w:szCs w:val="16"/>
                <w:color w:val="auto"/>
              </w:rPr>
              <w:t>8,750</w:t>
            </w:r>
          </w:p>
        </w:tc>
        <w:tc>
          <w:tcPr>
            <w:tcW w:w="760" w:type="dxa"/>
            <w:vAlign w:val="bottom"/>
            <w:gridSpan w:val="2"/>
          </w:tcPr>
          <w:p>
            <w:pPr>
              <w:jc w:val="right"/>
              <w:ind w:right="46"/>
              <w:spacing w:after="0"/>
              <w:rPr>
                <w:sz w:val="20"/>
                <w:szCs w:val="20"/>
                <w:color w:val="auto"/>
              </w:rPr>
            </w:pPr>
            <w:r>
              <w:rPr>
                <w:rFonts w:ascii="Arial" w:cs="Arial" w:eastAsia="Arial" w:hAnsi="Arial"/>
                <w:sz w:val="16"/>
                <w:szCs w:val="16"/>
                <w:color w:val="auto"/>
              </w:rPr>
              <w:t>5,033</w:t>
            </w:r>
          </w:p>
        </w:tc>
        <w:tc>
          <w:tcPr>
            <w:tcW w:w="1200" w:type="dxa"/>
            <w:vAlign w:val="bottom"/>
            <w:gridSpan w:val="2"/>
          </w:tcPr>
          <w:p>
            <w:pPr>
              <w:jc w:val="right"/>
              <w:ind w:right="89"/>
              <w:spacing w:after="0"/>
              <w:rPr>
                <w:sz w:val="20"/>
                <w:szCs w:val="20"/>
                <w:color w:val="auto"/>
              </w:rPr>
            </w:pPr>
            <w:r>
              <w:rPr>
                <w:rFonts w:ascii="Arial" w:cs="Arial" w:eastAsia="Arial" w:hAnsi="Arial"/>
                <w:sz w:val="16"/>
                <w:szCs w:val="16"/>
                <w:color w:val="auto"/>
              </w:rPr>
              <w:t>3,708</w:t>
            </w:r>
          </w:p>
        </w:tc>
        <w:tc>
          <w:tcPr>
            <w:tcW w:w="140" w:type="dxa"/>
            <w:vAlign w:val="bottom"/>
          </w:tcPr>
          <w:p>
            <w:pPr>
              <w:spacing w:after="0"/>
              <w:rPr>
                <w:sz w:val="23"/>
                <w:szCs w:val="23"/>
                <w:color w:val="auto"/>
              </w:rPr>
            </w:pPr>
          </w:p>
        </w:tc>
        <w:tc>
          <w:tcPr>
            <w:tcW w:w="72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080" w:type="dxa"/>
            <w:vAlign w:val="bottom"/>
          </w:tcPr>
          <w:p>
            <w:pPr>
              <w:jc w:val="right"/>
              <w:ind w:right="104"/>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8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78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6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5"/>
              <w:spacing w:after="0"/>
              <w:rPr>
                <w:sz w:val="20"/>
                <w:szCs w:val="20"/>
                <w:color w:val="auto"/>
              </w:rPr>
            </w:pPr>
            <w:r>
              <w:rPr>
                <w:rFonts w:ascii="Arial" w:cs="Arial" w:eastAsia="Arial" w:hAnsi="Arial"/>
                <w:sz w:val="16"/>
                <w:szCs w:val="16"/>
                <w:color w:val="auto"/>
              </w:rPr>
              <w:t>470</w:t>
            </w:r>
          </w:p>
        </w:tc>
        <w:tc>
          <w:tcPr>
            <w:tcW w:w="680" w:type="dxa"/>
            <w:vAlign w:val="bottom"/>
            <w:gridSpan w:val="2"/>
          </w:tcPr>
          <w:p>
            <w:pPr>
              <w:jc w:val="right"/>
              <w:ind w:right="29"/>
              <w:spacing w:after="0"/>
              <w:rPr>
                <w:sz w:val="20"/>
                <w:szCs w:val="20"/>
                <w:color w:val="auto"/>
              </w:rPr>
            </w:pPr>
            <w:r>
              <w:rPr>
                <w:rFonts w:ascii="Arial" w:cs="Arial" w:eastAsia="Arial" w:hAnsi="Arial"/>
                <w:sz w:val="16"/>
                <w:szCs w:val="16"/>
                <w:color w:val="auto"/>
              </w:rPr>
              <w:t>2,250</w:t>
            </w:r>
          </w:p>
        </w:tc>
        <w:tc>
          <w:tcPr>
            <w:tcW w:w="840" w:type="dxa"/>
            <w:vAlign w:val="bottom"/>
            <w:gridSpan w:val="2"/>
          </w:tcPr>
          <w:p>
            <w:pPr>
              <w:jc w:val="right"/>
              <w:ind w:right="29"/>
              <w:spacing w:after="0"/>
              <w:rPr>
                <w:sz w:val="20"/>
                <w:szCs w:val="20"/>
                <w:color w:val="auto"/>
              </w:rPr>
            </w:pPr>
            <w:r>
              <w:rPr>
                <w:rFonts w:ascii="Arial" w:cs="Arial" w:eastAsia="Arial" w:hAnsi="Arial"/>
                <w:sz w:val="16"/>
                <w:szCs w:val="16"/>
                <w:color w:val="auto"/>
              </w:rPr>
              <w:t>20,211</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940" w:type="dxa"/>
            <w:vAlign w:val="bottom"/>
            <w:shd w:val="clear" w:color="auto" w:fill="E5FFFF"/>
          </w:tcPr>
          <w:p>
            <w:pPr>
              <w:ind w:left="20"/>
              <w:spacing w:after="0"/>
              <w:rPr>
                <w:sz w:val="20"/>
                <w:szCs w:val="20"/>
                <w:color w:val="auto"/>
              </w:rPr>
            </w:pPr>
            <w:r>
              <w:rPr>
                <w:rFonts w:ascii="Arial" w:cs="Arial" w:eastAsia="Arial" w:hAnsi="Arial"/>
                <w:sz w:val="16"/>
                <w:szCs w:val="16"/>
                <w:color w:val="auto"/>
              </w:rPr>
              <w:t>R. Mina</w:t>
            </w:r>
          </w:p>
        </w:tc>
        <w:tc>
          <w:tcPr>
            <w:tcW w:w="86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30,000</w:t>
            </w:r>
          </w:p>
        </w:tc>
        <w:tc>
          <w:tcPr>
            <w:tcW w:w="760" w:type="dxa"/>
            <w:vAlign w:val="bottom"/>
            <w:gridSpan w:val="2"/>
            <w:shd w:val="clear" w:color="auto" w:fill="E5FFFF"/>
          </w:tcPr>
          <w:p>
            <w:pPr>
              <w:jc w:val="right"/>
              <w:ind w:right="46"/>
              <w:spacing w:after="0"/>
              <w:rPr>
                <w:sz w:val="20"/>
                <w:szCs w:val="20"/>
                <w:color w:val="auto"/>
              </w:rPr>
            </w:pPr>
            <w:r>
              <w:rPr>
                <w:rFonts w:ascii="Arial" w:cs="Arial" w:eastAsia="Arial" w:hAnsi="Arial"/>
                <w:sz w:val="16"/>
                <w:szCs w:val="16"/>
                <w:color w:val="auto"/>
              </w:rPr>
              <w:t>5,000</w:t>
            </w:r>
          </w:p>
        </w:tc>
        <w:tc>
          <w:tcPr>
            <w:tcW w:w="120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5,000</w:t>
            </w:r>
          </w:p>
        </w:tc>
        <w:tc>
          <w:tcPr>
            <w:tcW w:w="860" w:type="dxa"/>
            <w:vAlign w:val="bottom"/>
            <w:gridSpan w:val="2"/>
            <w:shd w:val="clear" w:color="auto" w:fill="E5FFFF"/>
          </w:tcPr>
          <w:p>
            <w:pPr>
              <w:jc w:val="right"/>
              <w:ind w:right="45"/>
              <w:spacing w:after="0"/>
              <w:rPr>
                <w:sz w:val="20"/>
                <w:szCs w:val="20"/>
                <w:color w:val="auto"/>
              </w:rPr>
            </w:pPr>
            <w:r>
              <w:rPr>
                <w:rFonts w:ascii="Arial" w:cs="Arial" w:eastAsia="Arial" w:hAnsi="Arial"/>
                <w:sz w:val="16"/>
                <w:szCs w:val="16"/>
                <w:color w:val="auto"/>
              </w:rPr>
              <w:t>2,641</w:t>
            </w:r>
          </w:p>
        </w:tc>
        <w:tc>
          <w:tcPr>
            <w:tcW w:w="16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104"/>
              <w:spacing w:after="0"/>
              <w:rPr>
                <w:sz w:val="20"/>
                <w:szCs w:val="20"/>
                <w:color w:val="auto"/>
              </w:rPr>
            </w:pPr>
            <w:r>
              <w:rPr>
                <w:rFonts w:ascii="Arial" w:cs="Arial" w:eastAsia="Arial" w:hAnsi="Arial"/>
                <w:sz w:val="16"/>
                <w:szCs w:val="16"/>
                <w:color w:val="auto"/>
              </w:rPr>
              <w:t>—</w:t>
            </w:r>
          </w:p>
        </w:tc>
        <w:tc>
          <w:tcPr>
            <w:tcW w:w="14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84"/>
              <w:spacing w:after="0"/>
              <w:rPr>
                <w:sz w:val="20"/>
                <w:szCs w:val="20"/>
                <w:color w:val="auto"/>
              </w:rPr>
            </w:pPr>
            <w:r>
              <w:rPr>
                <w:rFonts w:ascii="Arial" w:cs="Arial" w:eastAsia="Arial" w:hAnsi="Arial"/>
                <w:sz w:val="16"/>
                <w:szCs w:val="16"/>
                <w:color w:val="auto"/>
              </w:rPr>
              <w:t>—</w:t>
            </w: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6"/>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3,624</w:t>
            </w:r>
          </w:p>
        </w:tc>
        <w:tc>
          <w:tcPr>
            <w:tcW w:w="720" w:type="dxa"/>
            <w:vAlign w:val="bottom"/>
            <w:gridSpan w:val="2"/>
            <w:shd w:val="clear" w:color="auto" w:fill="E5FFFF"/>
          </w:tcPr>
          <w:p>
            <w:pPr>
              <w:jc w:val="right"/>
              <w:ind w:right="65"/>
              <w:spacing w:after="0"/>
              <w:rPr>
                <w:sz w:val="20"/>
                <w:szCs w:val="20"/>
                <w:color w:val="auto"/>
              </w:rPr>
            </w:pPr>
            <w:r>
              <w:rPr>
                <w:rFonts w:ascii="Arial" w:cs="Arial" w:eastAsia="Arial" w:hAnsi="Arial"/>
                <w:sz w:val="16"/>
                <w:szCs w:val="16"/>
                <w:color w:val="auto"/>
              </w:rPr>
              <w:t>855</w:t>
            </w:r>
          </w:p>
        </w:tc>
        <w:tc>
          <w:tcPr>
            <w:tcW w:w="6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2,250</w:t>
            </w:r>
          </w:p>
        </w:tc>
        <w:tc>
          <w:tcPr>
            <w:tcW w:w="8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49,370</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16"/>
                <w:szCs w:val="16"/>
                <w:color w:val="auto"/>
              </w:rPr>
              <w:t>R. Halls</w:t>
            </w:r>
          </w:p>
        </w:tc>
        <w:tc>
          <w:tcPr>
            <w:tcW w:w="860" w:type="dxa"/>
            <w:vAlign w:val="bottom"/>
            <w:gridSpan w:val="2"/>
          </w:tcPr>
          <w:p>
            <w:pPr>
              <w:jc w:val="right"/>
              <w:ind w:right="49"/>
              <w:spacing w:after="0"/>
              <w:rPr>
                <w:sz w:val="20"/>
                <w:szCs w:val="20"/>
                <w:color w:val="auto"/>
              </w:rPr>
            </w:pPr>
            <w:r>
              <w:rPr>
                <w:rFonts w:ascii="Arial" w:cs="Arial" w:eastAsia="Arial" w:hAnsi="Arial"/>
                <w:sz w:val="16"/>
                <w:szCs w:val="16"/>
                <w:color w:val="auto"/>
              </w:rPr>
              <w:t>28,878</w:t>
            </w:r>
          </w:p>
        </w:tc>
        <w:tc>
          <w:tcPr>
            <w:tcW w:w="140" w:type="dxa"/>
            <w:vAlign w:val="bottom"/>
          </w:tcPr>
          <w:p>
            <w:pPr>
              <w:spacing w:after="0"/>
              <w:rPr>
                <w:sz w:val="23"/>
                <w:szCs w:val="23"/>
                <w:color w:val="auto"/>
              </w:rPr>
            </w:pPr>
          </w:p>
        </w:tc>
        <w:tc>
          <w:tcPr>
            <w:tcW w:w="620" w:type="dxa"/>
            <w:vAlign w:val="bottom"/>
          </w:tcPr>
          <w:p>
            <w:pPr>
              <w:jc w:val="right"/>
              <w:ind w:right="46"/>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89"/>
              <w:spacing w:after="0"/>
              <w:rPr>
                <w:sz w:val="20"/>
                <w:szCs w:val="20"/>
                <w:color w:val="auto"/>
              </w:rPr>
            </w:pPr>
            <w:r>
              <w:rPr>
                <w:rFonts w:ascii="Arial" w:cs="Arial" w:eastAsia="Arial" w:hAnsi="Arial"/>
                <w:sz w:val="16"/>
                <w:szCs w:val="16"/>
                <w:color w:val="auto"/>
              </w:rPr>
              <w:t>3,288</w:t>
            </w:r>
          </w:p>
        </w:tc>
        <w:tc>
          <w:tcPr>
            <w:tcW w:w="140" w:type="dxa"/>
            <w:vAlign w:val="bottom"/>
          </w:tcPr>
          <w:p>
            <w:pPr>
              <w:spacing w:after="0"/>
              <w:rPr>
                <w:sz w:val="23"/>
                <w:szCs w:val="23"/>
                <w:color w:val="auto"/>
              </w:rPr>
            </w:pPr>
          </w:p>
        </w:tc>
        <w:tc>
          <w:tcPr>
            <w:tcW w:w="72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4"/>
              <w:spacing w:after="0"/>
              <w:rPr>
                <w:sz w:val="20"/>
                <w:szCs w:val="20"/>
                <w:color w:val="auto"/>
              </w:rPr>
            </w:pPr>
            <w:r>
              <w:rPr>
                <w:rFonts w:ascii="Arial" w:cs="Arial" w:eastAsia="Arial" w:hAnsi="Arial"/>
                <w:sz w:val="16"/>
                <w:szCs w:val="16"/>
                <w:color w:val="auto"/>
              </w:rPr>
              <w:t>58,800</w:t>
            </w:r>
          </w:p>
        </w:tc>
        <w:tc>
          <w:tcPr>
            <w:tcW w:w="1220" w:type="dxa"/>
            <w:vAlign w:val="bottom"/>
            <w:gridSpan w:val="2"/>
          </w:tcPr>
          <w:p>
            <w:pPr>
              <w:jc w:val="right"/>
              <w:ind w:right="84"/>
              <w:spacing w:after="0"/>
              <w:rPr>
                <w:sz w:val="20"/>
                <w:szCs w:val="20"/>
                <w:color w:val="auto"/>
              </w:rPr>
            </w:pPr>
            <w:r>
              <w:rPr>
                <w:rFonts w:ascii="Arial" w:cs="Arial" w:eastAsia="Arial" w:hAnsi="Arial"/>
                <w:sz w:val="16"/>
                <w:szCs w:val="16"/>
                <w:color w:val="auto"/>
              </w:rPr>
              <w:t>91,499</w:t>
            </w:r>
          </w:p>
        </w:tc>
        <w:tc>
          <w:tcPr>
            <w:tcW w:w="920" w:type="dxa"/>
            <w:vAlign w:val="bottom"/>
            <w:gridSpan w:val="2"/>
          </w:tcPr>
          <w:p>
            <w:pPr>
              <w:jc w:val="right"/>
              <w:ind w:right="26"/>
              <w:spacing w:after="0"/>
              <w:rPr>
                <w:sz w:val="20"/>
                <w:szCs w:val="20"/>
                <w:color w:val="auto"/>
              </w:rPr>
            </w:pPr>
            <w:r>
              <w:rPr>
                <w:rFonts w:ascii="Arial" w:cs="Arial" w:eastAsia="Arial" w:hAnsi="Arial"/>
                <w:sz w:val="16"/>
                <w:szCs w:val="16"/>
                <w:color w:val="auto"/>
              </w:rPr>
              <w:t>107,676</w:t>
            </w:r>
          </w:p>
        </w:tc>
        <w:tc>
          <w:tcPr>
            <w:tcW w:w="140" w:type="dxa"/>
            <w:vAlign w:val="bottom"/>
          </w:tcPr>
          <w:p>
            <w:pPr>
              <w:spacing w:after="0"/>
              <w:rPr>
                <w:sz w:val="23"/>
                <w:szCs w:val="23"/>
                <w:color w:val="auto"/>
              </w:rPr>
            </w:pPr>
          </w:p>
        </w:tc>
        <w:tc>
          <w:tcPr>
            <w:tcW w:w="6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5"/>
              <w:spacing w:after="0"/>
              <w:rPr>
                <w:sz w:val="20"/>
                <w:szCs w:val="20"/>
                <w:color w:val="auto"/>
              </w:rPr>
            </w:pPr>
            <w:r>
              <w:rPr>
                <w:rFonts w:ascii="Arial" w:cs="Arial" w:eastAsia="Arial" w:hAnsi="Arial"/>
                <w:sz w:val="16"/>
                <w:szCs w:val="16"/>
                <w:color w:val="auto"/>
              </w:rPr>
              <w:t>918</w:t>
            </w:r>
          </w:p>
        </w:tc>
        <w:tc>
          <w:tcPr>
            <w:tcW w:w="680" w:type="dxa"/>
            <w:vAlign w:val="bottom"/>
            <w:gridSpan w:val="2"/>
          </w:tcPr>
          <w:p>
            <w:pPr>
              <w:jc w:val="right"/>
              <w:ind w:right="29"/>
              <w:spacing w:after="0"/>
              <w:rPr>
                <w:sz w:val="20"/>
                <w:szCs w:val="20"/>
                <w:color w:val="auto"/>
              </w:rPr>
            </w:pPr>
            <w:r>
              <w:rPr>
                <w:rFonts w:ascii="Arial" w:cs="Arial" w:eastAsia="Arial" w:hAnsi="Arial"/>
                <w:sz w:val="16"/>
                <w:szCs w:val="16"/>
                <w:color w:val="auto"/>
              </w:rPr>
              <w:t>1,083</w:t>
            </w:r>
          </w:p>
        </w:tc>
        <w:tc>
          <w:tcPr>
            <w:tcW w:w="840" w:type="dxa"/>
            <w:vAlign w:val="bottom"/>
            <w:gridSpan w:val="2"/>
          </w:tcPr>
          <w:p>
            <w:pPr>
              <w:jc w:val="right"/>
              <w:ind w:right="29"/>
              <w:spacing w:after="0"/>
              <w:rPr>
                <w:sz w:val="20"/>
                <w:szCs w:val="20"/>
                <w:color w:val="auto"/>
              </w:rPr>
            </w:pPr>
            <w:r>
              <w:rPr>
                <w:rFonts w:ascii="Arial" w:cs="Arial" w:eastAsia="Arial" w:hAnsi="Arial"/>
                <w:sz w:val="16"/>
                <w:szCs w:val="16"/>
                <w:color w:val="auto"/>
              </w:rPr>
              <w:t>292,142</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940" w:type="dxa"/>
            <w:vAlign w:val="bottom"/>
            <w:shd w:val="clear" w:color="auto" w:fill="E5FFFF"/>
          </w:tcPr>
          <w:p>
            <w:pPr>
              <w:ind w:left="20"/>
              <w:spacing w:after="0"/>
              <w:rPr>
                <w:sz w:val="20"/>
                <w:szCs w:val="20"/>
                <w:color w:val="auto"/>
              </w:rPr>
            </w:pPr>
            <w:r>
              <w:rPr>
                <w:rFonts w:ascii="Arial" w:cs="Arial" w:eastAsia="Arial" w:hAnsi="Arial"/>
                <w:sz w:val="16"/>
                <w:szCs w:val="16"/>
                <w:color w:val="auto"/>
              </w:rPr>
              <w:t>G. Bahler</w:t>
            </w:r>
          </w:p>
        </w:tc>
        <w:tc>
          <w:tcPr>
            <w:tcW w:w="860" w:type="dxa"/>
            <w:vAlign w:val="bottom"/>
            <w:gridSpan w:val="2"/>
            <w:shd w:val="clear" w:color="auto" w:fill="E5FFFF"/>
          </w:tcPr>
          <w:p>
            <w:pPr>
              <w:jc w:val="right"/>
              <w:ind w:right="49"/>
              <w:spacing w:after="0"/>
              <w:rPr>
                <w:sz w:val="20"/>
                <w:szCs w:val="20"/>
                <w:color w:val="auto"/>
              </w:rPr>
            </w:pPr>
            <w:r>
              <w:rPr>
                <w:rFonts w:ascii="Arial" w:cs="Arial" w:eastAsia="Arial" w:hAnsi="Arial"/>
                <w:sz w:val="16"/>
                <w:szCs w:val="16"/>
                <w:color w:val="auto"/>
              </w:rPr>
              <w:t>13,353</w:t>
            </w:r>
          </w:p>
        </w:tc>
        <w:tc>
          <w:tcPr>
            <w:tcW w:w="760" w:type="dxa"/>
            <w:vAlign w:val="bottom"/>
            <w:gridSpan w:val="2"/>
            <w:shd w:val="clear" w:color="auto" w:fill="E5FFFF"/>
          </w:tcPr>
          <w:p>
            <w:pPr>
              <w:jc w:val="right"/>
              <w:ind w:right="46"/>
              <w:spacing w:after="0"/>
              <w:rPr>
                <w:sz w:val="20"/>
                <w:szCs w:val="20"/>
                <w:color w:val="auto"/>
              </w:rPr>
            </w:pPr>
            <w:r>
              <w:rPr>
                <w:rFonts w:ascii="Arial" w:cs="Arial" w:eastAsia="Arial" w:hAnsi="Arial"/>
                <w:sz w:val="16"/>
                <w:szCs w:val="16"/>
                <w:color w:val="auto"/>
              </w:rPr>
              <w:t>7,500</w:t>
            </w:r>
          </w:p>
        </w:tc>
        <w:tc>
          <w:tcPr>
            <w:tcW w:w="1200" w:type="dxa"/>
            <w:vAlign w:val="bottom"/>
            <w:gridSpan w:val="2"/>
            <w:shd w:val="clear" w:color="auto" w:fill="E5FFFF"/>
          </w:tcPr>
          <w:p>
            <w:pPr>
              <w:jc w:val="right"/>
              <w:ind w:right="89"/>
              <w:spacing w:after="0"/>
              <w:rPr>
                <w:sz w:val="20"/>
                <w:szCs w:val="20"/>
                <w:color w:val="auto"/>
              </w:rPr>
            </w:pPr>
            <w:r>
              <w:rPr>
                <w:rFonts w:ascii="Arial" w:cs="Arial" w:eastAsia="Arial" w:hAnsi="Arial"/>
                <w:sz w:val="16"/>
                <w:szCs w:val="16"/>
                <w:color w:val="auto"/>
              </w:rPr>
              <w:t>4,984</w:t>
            </w:r>
          </w:p>
        </w:tc>
        <w:tc>
          <w:tcPr>
            <w:tcW w:w="860" w:type="dxa"/>
            <w:vAlign w:val="bottom"/>
            <w:gridSpan w:val="2"/>
            <w:shd w:val="clear" w:color="auto" w:fill="E5FFFF"/>
          </w:tcPr>
          <w:p>
            <w:pPr>
              <w:jc w:val="right"/>
              <w:ind w:right="45"/>
              <w:spacing w:after="0"/>
              <w:rPr>
                <w:sz w:val="20"/>
                <w:szCs w:val="20"/>
                <w:color w:val="auto"/>
              </w:rPr>
            </w:pPr>
            <w:r>
              <w:rPr>
                <w:rFonts w:ascii="Arial" w:cs="Arial" w:eastAsia="Arial" w:hAnsi="Arial"/>
                <w:sz w:val="16"/>
                <w:szCs w:val="16"/>
                <w:color w:val="auto"/>
              </w:rPr>
              <w:t>5,565</w:t>
            </w:r>
          </w:p>
        </w:tc>
        <w:tc>
          <w:tcPr>
            <w:tcW w:w="16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104"/>
              <w:spacing w:after="0"/>
              <w:rPr>
                <w:sz w:val="20"/>
                <w:szCs w:val="20"/>
                <w:color w:val="auto"/>
              </w:rPr>
            </w:pPr>
            <w:r>
              <w:rPr>
                <w:rFonts w:ascii="Arial" w:cs="Arial" w:eastAsia="Arial" w:hAnsi="Arial"/>
                <w:sz w:val="16"/>
                <w:szCs w:val="16"/>
                <w:color w:val="auto"/>
              </w:rPr>
              <w:t>—</w:t>
            </w:r>
          </w:p>
        </w:tc>
        <w:tc>
          <w:tcPr>
            <w:tcW w:w="140" w:type="dxa"/>
            <w:vAlign w:val="bottom"/>
            <w:shd w:val="clear" w:color="auto" w:fill="E5FFFF"/>
          </w:tcPr>
          <w:p>
            <w:pPr>
              <w:spacing w:after="0"/>
              <w:rPr>
                <w:sz w:val="23"/>
                <w:szCs w:val="23"/>
                <w:color w:val="auto"/>
              </w:rPr>
            </w:pPr>
          </w:p>
        </w:tc>
        <w:tc>
          <w:tcPr>
            <w:tcW w:w="1080" w:type="dxa"/>
            <w:vAlign w:val="bottom"/>
            <w:shd w:val="clear" w:color="auto" w:fill="E5FFFF"/>
          </w:tcPr>
          <w:p>
            <w:pPr>
              <w:jc w:val="right"/>
              <w:ind w:right="84"/>
              <w:spacing w:after="0"/>
              <w:rPr>
                <w:sz w:val="20"/>
                <w:szCs w:val="20"/>
                <w:color w:val="auto"/>
              </w:rPr>
            </w:pPr>
            <w:r>
              <w:rPr>
                <w:rFonts w:ascii="Arial" w:cs="Arial" w:eastAsia="Arial" w:hAnsi="Arial"/>
                <w:sz w:val="16"/>
                <w:szCs w:val="16"/>
                <w:color w:val="auto"/>
              </w:rPr>
              <w:t>—</w:t>
            </w:r>
          </w:p>
        </w:tc>
        <w:tc>
          <w:tcPr>
            <w:tcW w:w="1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6"/>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E5FFFF"/>
          </w:tcPr>
          <w:p>
            <w:pPr>
              <w:jc w:val="right"/>
              <w:ind w:right="25"/>
              <w:spacing w:after="0"/>
              <w:rPr>
                <w:sz w:val="20"/>
                <w:szCs w:val="20"/>
                <w:color w:val="auto"/>
              </w:rPr>
            </w:pPr>
            <w:r>
              <w:rPr>
                <w:rFonts w:ascii="Arial" w:cs="Arial" w:eastAsia="Arial" w:hAnsi="Arial"/>
                <w:sz w:val="16"/>
                <w:szCs w:val="16"/>
                <w:color w:val="auto"/>
              </w:rPr>
              <w:t>2,428</w:t>
            </w:r>
          </w:p>
        </w:tc>
        <w:tc>
          <w:tcPr>
            <w:tcW w:w="80" w:type="dxa"/>
            <w:vAlign w:val="bottom"/>
            <w:shd w:val="clear" w:color="auto" w:fill="E5FFFF"/>
          </w:tcPr>
          <w:p>
            <w:pPr>
              <w:spacing w:after="0"/>
              <w:rPr>
                <w:sz w:val="23"/>
                <w:szCs w:val="23"/>
                <w:color w:val="auto"/>
              </w:rPr>
            </w:pPr>
          </w:p>
        </w:tc>
        <w:tc>
          <w:tcPr>
            <w:tcW w:w="640" w:type="dxa"/>
            <w:vAlign w:val="bottom"/>
            <w:shd w:val="clear" w:color="auto" w:fill="E5FFFF"/>
          </w:tcPr>
          <w:p>
            <w:pPr>
              <w:jc w:val="right"/>
              <w:ind w:right="65"/>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2,250</w:t>
            </w:r>
          </w:p>
        </w:tc>
        <w:tc>
          <w:tcPr>
            <w:tcW w:w="8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36,080</w:t>
            </w:r>
          </w:p>
        </w:tc>
        <w:tc>
          <w:tcPr>
            <w:tcW w:w="240" w:type="dxa"/>
            <w:vAlign w:val="bottom"/>
            <w:tcBorders>
              <w:right w:val="single" w:sz="8" w:color="auto"/>
            </w:tcBorders>
          </w:tcPr>
          <w:p>
            <w:pPr>
              <w:spacing w:after="0"/>
              <w:rPr>
                <w:sz w:val="23"/>
                <w:szCs w:val="23"/>
                <w:color w:val="auto"/>
              </w:rPr>
            </w:pPr>
          </w:p>
        </w:tc>
      </w:tr>
      <w:tr>
        <w:trPr>
          <w:trHeight w:val="226"/>
        </w:trPr>
        <w:tc>
          <w:tcPr>
            <w:tcW w:w="140" w:type="dxa"/>
            <w:vAlign w:val="bottom"/>
            <w:tcBorders>
              <w:left w:val="single" w:sz="8" w:color="auto"/>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bl>
    <w:p>
      <w:pPr>
        <w:spacing w:after="0" w:line="180" w:lineRule="exact"/>
        <w:rPr>
          <w:sz w:val="20"/>
          <w:szCs w:val="20"/>
          <w:color w:val="auto"/>
        </w:rPr>
      </w:pPr>
    </w:p>
    <w:p>
      <w:pPr>
        <w:jc w:val="both"/>
        <w:ind w:firstLine="357"/>
        <w:spacing w:after="0" w:line="351" w:lineRule="auto"/>
        <w:rPr>
          <w:sz w:val="20"/>
          <w:szCs w:val="20"/>
          <w:color w:val="auto"/>
        </w:rPr>
      </w:pPr>
      <w:r>
        <w:rPr>
          <w:rFonts w:ascii="Arial" w:cs="Arial" w:eastAsia="Arial" w:hAnsi="Arial"/>
          <w:sz w:val="17"/>
          <w:szCs w:val="17"/>
          <w:color w:val="auto"/>
        </w:rPr>
        <w:t xml:space="preserve">The following </w:t>
      </w:r>
      <w:r>
        <w:rPr>
          <w:rFonts w:ascii="Arial" w:cs="Arial" w:eastAsia="Arial" w:hAnsi="Arial"/>
          <w:sz w:val="17"/>
          <w:szCs w:val="17"/>
          <w:b w:val="1"/>
          <w:bCs w:val="1"/>
          <w:color w:val="auto"/>
        </w:rPr>
        <w:t>Grants of Plan-Based Awards Table</w:t>
      </w:r>
      <w:r>
        <w:rPr>
          <w:rFonts w:ascii="Arial" w:cs="Arial" w:eastAsia="Arial" w:hAnsi="Arial"/>
          <w:sz w:val="17"/>
          <w:szCs w:val="17"/>
          <w:color w:val="auto"/>
        </w:rPr>
        <w:t xml:space="preserve"> shows the awards made to the named executive officers in 2007 under the Annual Bonus Plan and the Long-Term Bonus Plan, as well as the restricted stock and stock option awards under the Company’s stock option and award plans.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9"/>
          <w:szCs w:val="19"/>
          <w:b w:val="1"/>
          <w:bCs w:val="1"/>
          <w:color w:val="auto"/>
        </w:rPr>
        <w:t>GRANTS OF PLAN-BASED AWARDS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940" w:type="dxa"/>
            <w:vAlign w:val="bottom"/>
            <w:tcBorders>
              <w:top w:val="single" w:sz="8" w:color="auto"/>
              <w:lef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9"/>
              </w:rPr>
              <w:t>Estimated Future Payouts</w:t>
            </w:r>
          </w:p>
        </w:tc>
        <w:tc>
          <w:tcPr>
            <w:tcW w:w="16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gridSpan w:val="7"/>
          </w:tcPr>
          <w:p>
            <w:pPr>
              <w:jc w:val="center"/>
              <w:spacing w:after="0"/>
              <w:rPr>
                <w:sz w:val="20"/>
                <w:szCs w:val="20"/>
                <w:color w:val="auto"/>
              </w:rPr>
            </w:pPr>
            <w:r>
              <w:rPr>
                <w:rFonts w:ascii="Arial" w:cs="Arial" w:eastAsia="Arial" w:hAnsi="Arial"/>
                <w:sz w:val="15"/>
                <w:szCs w:val="15"/>
                <w:b w:val="1"/>
                <w:bCs w:val="1"/>
                <w:color w:val="auto"/>
                <w:w w:val="89"/>
              </w:rPr>
              <w:t>Estimated Future Payouts</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80" w:type="dxa"/>
            <w:vAlign w:val="bottom"/>
            <w:tcBorders>
              <w:top w:val="single" w:sz="8" w:color="auto"/>
              <w:right w:val="single" w:sz="8" w:color="auto"/>
            </w:tcBorders>
          </w:tcPr>
          <w:p>
            <w:pPr>
              <w:spacing w:after="0"/>
              <w:rPr>
                <w:sz w:val="20"/>
                <w:szCs w:val="20"/>
                <w:color w:val="auto"/>
              </w:rPr>
            </w:pPr>
          </w:p>
        </w:tc>
      </w:tr>
      <w:tr>
        <w:trPr>
          <w:trHeight w:val="162"/>
        </w:trPr>
        <w:tc>
          <w:tcPr>
            <w:tcW w:w="9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center"/>
              <w:spacing w:after="0" w:line="162" w:lineRule="exact"/>
              <w:rPr>
                <w:sz w:val="20"/>
                <w:szCs w:val="20"/>
                <w:color w:val="auto"/>
              </w:rPr>
            </w:pPr>
            <w:r>
              <w:rPr>
                <w:rFonts w:ascii="Arial" w:cs="Arial" w:eastAsia="Arial" w:hAnsi="Arial"/>
                <w:sz w:val="15"/>
                <w:szCs w:val="15"/>
                <w:b w:val="1"/>
                <w:bCs w:val="1"/>
                <w:color w:val="auto"/>
                <w:w w:val="91"/>
              </w:rPr>
              <w:t>Under Non-Equity Incentive</w:t>
            </w:r>
          </w:p>
        </w:tc>
        <w:tc>
          <w:tcPr>
            <w:tcW w:w="160" w:type="dxa"/>
            <w:vAlign w:val="bottom"/>
          </w:tcPr>
          <w:p>
            <w:pPr>
              <w:spacing w:after="0"/>
              <w:rPr>
                <w:sz w:val="14"/>
                <w:szCs w:val="14"/>
                <w:color w:val="auto"/>
              </w:rPr>
            </w:pPr>
          </w:p>
        </w:tc>
        <w:tc>
          <w:tcPr>
            <w:tcW w:w="2260" w:type="dxa"/>
            <w:vAlign w:val="bottom"/>
            <w:gridSpan w:val="7"/>
          </w:tcPr>
          <w:p>
            <w:pPr>
              <w:jc w:val="center"/>
              <w:spacing w:after="0" w:line="162" w:lineRule="exact"/>
              <w:rPr>
                <w:sz w:val="20"/>
                <w:szCs w:val="20"/>
                <w:color w:val="auto"/>
              </w:rPr>
            </w:pPr>
            <w:r>
              <w:rPr>
                <w:rFonts w:ascii="Arial" w:cs="Arial" w:eastAsia="Arial" w:hAnsi="Arial"/>
                <w:sz w:val="15"/>
                <w:szCs w:val="15"/>
                <w:b w:val="1"/>
                <w:bCs w:val="1"/>
                <w:color w:val="auto"/>
                <w:w w:val="92"/>
              </w:rPr>
              <w:t>Under Equity Incentive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188"/>
        </w:trPr>
        <w:tc>
          <w:tcPr>
            <w:tcW w:w="94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5"/>
                <w:szCs w:val="15"/>
                <w:b w:val="1"/>
                <w:bCs w:val="1"/>
                <w:color w:val="auto"/>
                <w:w w:val="91"/>
              </w:rPr>
              <w:t>Plan Awards</w:t>
            </w: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5"/>
                <w:szCs w:val="15"/>
                <w:b w:val="1"/>
                <w:bCs w:val="1"/>
                <w:color w:val="auto"/>
                <w:w w:val="88"/>
              </w:rPr>
              <w:t>Plan Awards</w:t>
            </w: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r>
      <w:tr>
        <w:trPr>
          <w:trHeight w:val="264"/>
        </w:trPr>
        <w:tc>
          <w:tcPr>
            <w:tcW w:w="940" w:type="dxa"/>
            <w:vAlign w:val="bottom"/>
            <w:tcBorders>
              <w:left w:val="single" w:sz="8" w:color="auto"/>
            </w:tcBorders>
          </w:tcPr>
          <w:p>
            <w:pPr>
              <w:ind w:left="400"/>
              <w:spacing w:after="0"/>
              <w:rPr>
                <w:sz w:val="20"/>
                <w:szCs w:val="20"/>
                <w:color w:val="auto"/>
              </w:rPr>
            </w:pPr>
            <w:r>
              <w:rPr>
                <w:rFonts w:ascii="Arial" w:cs="Arial" w:eastAsia="Arial" w:hAnsi="Arial"/>
                <w:sz w:val="15"/>
                <w:szCs w:val="15"/>
                <w:b w:val="1"/>
                <w:bCs w:val="1"/>
                <w:color w:val="auto"/>
              </w:rPr>
              <w:t>(a)</w:t>
            </w:r>
          </w:p>
        </w:tc>
        <w:tc>
          <w:tcPr>
            <w:tcW w:w="140" w:type="dxa"/>
            <w:vAlign w:val="bottom"/>
          </w:tcPr>
          <w:p>
            <w:pPr>
              <w:spacing w:after="0"/>
              <w:rPr>
                <w:sz w:val="22"/>
                <w:szCs w:val="2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3"/>
              </w:rPr>
              <w:t>(b)</w:t>
            </w:r>
          </w:p>
        </w:tc>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87"/>
              </w:rPr>
              <w:t>(c)</w:t>
            </w:r>
          </w:p>
        </w:tc>
        <w:tc>
          <w:tcPr>
            <w:tcW w:w="160" w:type="dxa"/>
            <w:vAlign w:val="bottom"/>
          </w:tcPr>
          <w:p>
            <w:pPr>
              <w:spacing w:after="0"/>
              <w:rPr>
                <w:sz w:val="22"/>
                <w:szCs w:val="2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3"/>
              </w:rPr>
              <w:t>(d)</w:t>
            </w:r>
          </w:p>
        </w:tc>
        <w:tc>
          <w:tcPr>
            <w:tcW w:w="860" w:type="dxa"/>
            <w:vAlign w:val="bottom"/>
          </w:tcPr>
          <w:p>
            <w:pPr>
              <w:jc w:val="center"/>
              <w:spacing w:after="0"/>
              <w:rPr>
                <w:sz w:val="20"/>
                <w:szCs w:val="20"/>
                <w:color w:val="auto"/>
              </w:rPr>
            </w:pPr>
            <w:r>
              <w:rPr>
                <w:rFonts w:ascii="Arial" w:cs="Arial" w:eastAsia="Arial" w:hAnsi="Arial"/>
                <w:sz w:val="15"/>
                <w:szCs w:val="15"/>
                <w:b w:val="1"/>
                <w:bCs w:val="1"/>
                <w:color w:val="auto"/>
                <w:w w:val="87"/>
              </w:rPr>
              <w:t>(e)</w:t>
            </w:r>
          </w:p>
        </w:tc>
        <w:tc>
          <w:tcPr>
            <w:tcW w:w="1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5"/>
                <w:szCs w:val="15"/>
                <w:b w:val="1"/>
                <w:bCs w:val="1"/>
                <w:color w:val="auto"/>
              </w:rPr>
              <w:t>(f)</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83"/>
              </w:rPr>
              <w:t>(g)</w:t>
            </w:r>
          </w:p>
        </w:tc>
        <w:tc>
          <w:tcPr>
            <w:tcW w:w="720" w:type="dxa"/>
            <w:vAlign w:val="bottom"/>
          </w:tcPr>
          <w:p>
            <w:pPr>
              <w:jc w:val="center"/>
              <w:spacing w:after="0"/>
              <w:rPr>
                <w:sz w:val="20"/>
                <w:szCs w:val="20"/>
                <w:color w:val="auto"/>
              </w:rPr>
            </w:pPr>
            <w:r>
              <w:rPr>
                <w:rFonts w:ascii="Arial" w:cs="Arial" w:eastAsia="Arial" w:hAnsi="Arial"/>
                <w:sz w:val="15"/>
                <w:szCs w:val="15"/>
                <w:b w:val="1"/>
                <w:bCs w:val="1"/>
                <w:color w:val="auto"/>
                <w:w w:val="93"/>
              </w:rPr>
              <w:t>(h)</w:t>
            </w:r>
          </w:p>
        </w:tc>
        <w:tc>
          <w:tcPr>
            <w:tcW w:w="16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5"/>
                <w:szCs w:val="15"/>
                <w:b w:val="1"/>
                <w:bCs w:val="1"/>
                <w:color w:val="auto"/>
                <w:w w:val="98"/>
              </w:rPr>
              <w:t>(i)</w:t>
            </w:r>
          </w:p>
        </w:tc>
        <w:tc>
          <w:tcPr>
            <w:tcW w:w="1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5"/>
                <w:szCs w:val="15"/>
                <w:b w:val="1"/>
                <w:bCs w:val="1"/>
                <w:color w:val="auto"/>
                <w:w w:val="98"/>
              </w:rPr>
              <w:t>(j)</w:t>
            </w:r>
          </w:p>
        </w:tc>
        <w:tc>
          <w:tcPr>
            <w:tcW w:w="8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5"/>
                <w:szCs w:val="15"/>
                <w:b w:val="1"/>
                <w:bCs w:val="1"/>
                <w:color w:val="auto"/>
                <w:w w:val="97"/>
              </w:rPr>
              <w:t>(k)</w:t>
            </w:r>
          </w:p>
        </w:tc>
        <w:tc>
          <w:tcPr>
            <w:tcW w:w="8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5"/>
                <w:szCs w:val="15"/>
                <w:b w:val="1"/>
                <w:bCs w:val="1"/>
                <w:color w:val="auto"/>
                <w:w w:val="98"/>
              </w:rPr>
              <w:t>(l)</w:t>
            </w:r>
          </w:p>
        </w:tc>
        <w:tc>
          <w:tcPr>
            <w:tcW w:w="80" w:type="dxa"/>
            <w:vAlign w:val="bottom"/>
          </w:tcPr>
          <w:p>
            <w:pPr>
              <w:spacing w:after="0"/>
              <w:rPr>
                <w:sz w:val="22"/>
                <w:szCs w:val="22"/>
                <w:color w:val="auto"/>
              </w:rPr>
            </w:pP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(m)</w:t>
            </w:r>
          </w:p>
        </w:tc>
      </w:tr>
      <w:tr>
        <w:trPr>
          <w:trHeight w:val="162"/>
        </w:trPr>
        <w:tc>
          <w:tcPr>
            <w:tcW w:w="9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All</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162"/>
        </w:trPr>
        <w:tc>
          <w:tcPr>
            <w:tcW w:w="9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Other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162"/>
        </w:trPr>
        <w:tc>
          <w:tcPr>
            <w:tcW w:w="9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All</w:t>
            </w:r>
          </w:p>
        </w:tc>
        <w:tc>
          <w:tcPr>
            <w:tcW w:w="1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r>
      <w:tr>
        <w:trPr>
          <w:trHeight w:val="162"/>
        </w:trPr>
        <w:tc>
          <w:tcPr>
            <w:tcW w:w="9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Other</w:t>
            </w:r>
          </w:p>
        </w:tc>
        <w:tc>
          <w:tcPr>
            <w:tcW w:w="1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Awards: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4"/>
              </w:rPr>
              <w:t>Grant</w:t>
            </w:r>
          </w:p>
        </w:tc>
      </w:tr>
      <w:tr>
        <w:trPr>
          <w:trHeight w:val="162"/>
        </w:trPr>
        <w:tc>
          <w:tcPr>
            <w:tcW w:w="9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Stock</w:t>
            </w:r>
          </w:p>
        </w:tc>
        <w:tc>
          <w:tcPr>
            <w:tcW w:w="1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Number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2"/>
              </w:rPr>
              <w:t>Date</w:t>
            </w:r>
          </w:p>
        </w:tc>
      </w:tr>
      <w:tr>
        <w:trPr>
          <w:trHeight w:val="162"/>
        </w:trPr>
        <w:tc>
          <w:tcPr>
            <w:tcW w:w="9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Awards:</w:t>
            </w:r>
          </w:p>
        </w:tc>
        <w:tc>
          <w:tcPr>
            <w:tcW w:w="1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of</w:t>
            </w:r>
          </w:p>
        </w:tc>
        <w:tc>
          <w:tcPr>
            <w:tcW w:w="8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Exercise</w:t>
            </w:r>
          </w:p>
        </w:tc>
        <w:tc>
          <w:tcPr>
            <w:tcW w:w="8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Closing</w:t>
            </w:r>
          </w:p>
        </w:tc>
        <w:tc>
          <w:tcPr>
            <w:tcW w:w="80" w:type="dxa"/>
            <w:vAlign w:val="bottom"/>
          </w:tcPr>
          <w:p>
            <w:pPr>
              <w:spacing w:after="0"/>
              <w:rPr>
                <w:sz w:val="14"/>
                <w:szCs w:val="14"/>
                <w:color w:val="auto"/>
              </w:rPr>
            </w:pPr>
          </w:p>
        </w:tc>
        <w:tc>
          <w:tcPr>
            <w:tcW w:w="8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rPr>
              <w:t>Fair</w:t>
            </w:r>
          </w:p>
        </w:tc>
      </w:tr>
      <w:tr>
        <w:trPr>
          <w:trHeight w:val="162"/>
        </w:trPr>
        <w:tc>
          <w:tcPr>
            <w:tcW w:w="9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Number of</w:t>
            </w:r>
          </w:p>
        </w:tc>
        <w:tc>
          <w:tcPr>
            <w:tcW w:w="1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Securities</w:t>
            </w:r>
          </w:p>
        </w:tc>
        <w:tc>
          <w:tcPr>
            <w:tcW w:w="8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or Base</w:t>
            </w:r>
          </w:p>
        </w:tc>
        <w:tc>
          <w:tcPr>
            <w:tcW w:w="8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Market</w:t>
            </w:r>
          </w:p>
        </w:tc>
        <w:tc>
          <w:tcPr>
            <w:tcW w:w="80" w:type="dxa"/>
            <w:vAlign w:val="bottom"/>
          </w:tcPr>
          <w:p>
            <w:pPr>
              <w:spacing w:after="0"/>
              <w:rPr>
                <w:sz w:val="14"/>
                <w:szCs w:val="14"/>
                <w:color w:val="auto"/>
              </w:rPr>
            </w:pPr>
          </w:p>
        </w:tc>
        <w:tc>
          <w:tcPr>
            <w:tcW w:w="8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9"/>
              </w:rPr>
              <w:t>Value of</w:t>
            </w:r>
          </w:p>
        </w:tc>
      </w:tr>
      <w:tr>
        <w:trPr>
          <w:trHeight w:val="162"/>
        </w:trPr>
        <w:tc>
          <w:tcPr>
            <w:tcW w:w="9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3"/>
              </w:rPr>
              <w:t>Shares</w:t>
            </w:r>
          </w:p>
        </w:tc>
        <w:tc>
          <w:tcPr>
            <w:tcW w:w="1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Under-</w:t>
            </w:r>
          </w:p>
        </w:tc>
        <w:tc>
          <w:tcPr>
            <w:tcW w:w="8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Price of</w:t>
            </w:r>
          </w:p>
        </w:tc>
        <w:tc>
          <w:tcPr>
            <w:tcW w:w="8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Price</w:t>
            </w:r>
          </w:p>
        </w:tc>
        <w:tc>
          <w:tcPr>
            <w:tcW w:w="80" w:type="dxa"/>
            <w:vAlign w:val="bottom"/>
          </w:tcPr>
          <w:p>
            <w:pPr>
              <w:spacing w:after="0"/>
              <w:rPr>
                <w:sz w:val="14"/>
                <w:szCs w:val="14"/>
                <w:color w:val="auto"/>
              </w:rPr>
            </w:pPr>
          </w:p>
        </w:tc>
        <w:tc>
          <w:tcPr>
            <w:tcW w:w="8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8"/>
              </w:rPr>
              <w:t>Stock</w:t>
            </w:r>
          </w:p>
        </w:tc>
      </w:tr>
      <w:tr>
        <w:trPr>
          <w:trHeight w:val="162"/>
        </w:trPr>
        <w:tc>
          <w:tcPr>
            <w:tcW w:w="9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of Stock</w:t>
            </w:r>
          </w:p>
        </w:tc>
        <w:tc>
          <w:tcPr>
            <w:tcW w:w="1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5"/>
              </w:rPr>
              <w:t>lying</w:t>
            </w:r>
          </w:p>
        </w:tc>
        <w:tc>
          <w:tcPr>
            <w:tcW w:w="8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Option</w:t>
            </w:r>
          </w:p>
        </w:tc>
        <w:tc>
          <w:tcPr>
            <w:tcW w:w="8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on Date</w:t>
            </w:r>
          </w:p>
        </w:tc>
        <w:tc>
          <w:tcPr>
            <w:tcW w:w="80" w:type="dxa"/>
            <w:vAlign w:val="bottom"/>
          </w:tcPr>
          <w:p>
            <w:pPr>
              <w:spacing w:after="0"/>
              <w:rPr>
                <w:sz w:val="14"/>
                <w:szCs w:val="14"/>
                <w:color w:val="auto"/>
              </w:rPr>
            </w:pPr>
          </w:p>
        </w:tc>
        <w:tc>
          <w:tcPr>
            <w:tcW w:w="8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89"/>
              </w:rPr>
              <w:t>and</w:t>
            </w:r>
          </w:p>
        </w:tc>
      </w:tr>
      <w:tr>
        <w:trPr>
          <w:trHeight w:val="162"/>
        </w:trPr>
        <w:tc>
          <w:tcPr>
            <w:tcW w:w="94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4"/>
              </w:rPr>
              <w:t>Grant</w:t>
            </w:r>
          </w:p>
        </w:tc>
        <w:tc>
          <w:tcPr>
            <w:tcW w:w="7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Threshold</w:t>
            </w:r>
          </w:p>
        </w:tc>
        <w:tc>
          <w:tcPr>
            <w:tcW w:w="160" w:type="dxa"/>
            <w:vAlign w:val="bottom"/>
          </w:tcPr>
          <w:p>
            <w:pPr>
              <w:spacing w:after="0"/>
              <w:rPr>
                <w:sz w:val="14"/>
                <w:szCs w:val="14"/>
                <w:color w:val="auto"/>
              </w:rPr>
            </w:pPr>
          </w:p>
        </w:tc>
        <w:tc>
          <w:tcPr>
            <w:tcW w:w="100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Target</w:t>
            </w:r>
          </w:p>
        </w:tc>
        <w:tc>
          <w:tcPr>
            <w:tcW w:w="8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Maximum</w:t>
            </w:r>
          </w:p>
        </w:tc>
        <w:tc>
          <w:tcPr>
            <w:tcW w:w="1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Threshold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jc w:val="center"/>
              <w:ind w:right="180"/>
              <w:spacing w:after="0" w:line="162" w:lineRule="exact"/>
              <w:rPr>
                <w:sz w:val="20"/>
                <w:szCs w:val="20"/>
                <w:color w:val="auto"/>
              </w:rPr>
            </w:pPr>
            <w:r>
              <w:rPr>
                <w:rFonts w:ascii="Arial" w:cs="Arial" w:eastAsia="Arial" w:hAnsi="Arial"/>
                <w:sz w:val="15"/>
                <w:szCs w:val="15"/>
                <w:b w:val="1"/>
                <w:bCs w:val="1"/>
                <w:color w:val="auto"/>
                <w:w w:val="87"/>
              </w:rPr>
              <w:t>Target</w:t>
            </w:r>
          </w:p>
        </w:tc>
        <w:tc>
          <w:tcPr>
            <w:tcW w:w="7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Maximum</w:t>
            </w:r>
          </w:p>
        </w:tc>
        <w:tc>
          <w:tcPr>
            <w:tcW w:w="160" w:type="dxa"/>
            <w:vAlign w:val="bottom"/>
          </w:tcPr>
          <w:p>
            <w:pPr>
              <w:spacing w:after="0"/>
              <w:rPr>
                <w:sz w:val="14"/>
                <w:szCs w:val="14"/>
                <w:color w:val="auto"/>
              </w:rPr>
            </w:pPr>
          </w:p>
        </w:tc>
        <w:tc>
          <w:tcPr>
            <w:tcW w:w="8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or Units</w:t>
            </w:r>
          </w:p>
        </w:tc>
        <w:tc>
          <w:tcPr>
            <w:tcW w:w="1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Options</w:t>
            </w:r>
          </w:p>
        </w:tc>
        <w:tc>
          <w:tcPr>
            <w:tcW w:w="80" w:type="dxa"/>
            <w:vAlign w:val="bottom"/>
          </w:tcPr>
          <w:p>
            <w:pPr>
              <w:spacing w:after="0"/>
              <w:rPr>
                <w:sz w:val="14"/>
                <w:szCs w:val="14"/>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Awards</w:t>
            </w:r>
          </w:p>
        </w:tc>
        <w:tc>
          <w:tcPr>
            <w:tcW w:w="8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of Grant</w:t>
            </w:r>
          </w:p>
        </w:tc>
        <w:tc>
          <w:tcPr>
            <w:tcW w:w="80" w:type="dxa"/>
            <w:vAlign w:val="bottom"/>
          </w:tcPr>
          <w:p>
            <w:pPr>
              <w:spacing w:after="0"/>
              <w:rPr>
                <w:sz w:val="14"/>
                <w:szCs w:val="14"/>
                <w:color w:val="auto"/>
              </w:rPr>
            </w:pPr>
          </w:p>
        </w:tc>
        <w:tc>
          <w:tcPr>
            <w:tcW w:w="8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5"/>
                <w:szCs w:val="15"/>
                <w:b w:val="1"/>
                <w:bCs w:val="1"/>
                <w:color w:val="auto"/>
                <w:w w:val="90"/>
              </w:rPr>
              <w:t>Option</w:t>
            </w:r>
          </w:p>
        </w:tc>
      </w:tr>
      <w:tr>
        <w:trPr>
          <w:trHeight w:val="188"/>
        </w:trPr>
        <w:tc>
          <w:tcPr>
            <w:tcW w:w="940" w:type="dxa"/>
            <w:vAlign w:val="bottom"/>
            <w:tcBorders>
              <w:left w:val="single" w:sz="8" w:color="auto"/>
              <w:bottom w:val="single" w:sz="8" w:color="auto"/>
            </w:tcBorders>
          </w:tcPr>
          <w:p>
            <w:pPr>
              <w:ind w:left="300"/>
              <w:spacing w:after="0"/>
              <w:rPr>
                <w:sz w:val="20"/>
                <w:szCs w:val="20"/>
                <w:color w:val="auto"/>
              </w:rPr>
            </w:pPr>
            <w:r>
              <w:rPr>
                <w:rFonts w:ascii="Arial" w:cs="Arial" w:eastAsia="Arial" w:hAnsi="Arial"/>
                <w:sz w:val="15"/>
                <w:szCs w:val="15"/>
                <w:b w:val="1"/>
                <w:bCs w:val="1"/>
                <w:color w:val="auto"/>
              </w:rPr>
              <w:t>Name</w:t>
            </w:r>
          </w:p>
        </w:tc>
        <w:tc>
          <w:tcPr>
            <w:tcW w:w="14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4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6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w:t>
            </w:r>
          </w:p>
        </w:tc>
        <w:tc>
          <w:tcPr>
            <w:tcW w:w="16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16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u w:val="single" w:color="auto"/>
                <w:color w:val="auto"/>
                <w:w w:val="89"/>
              </w:rPr>
              <w:t>($</w:t>
            </w:r>
            <w:r>
              <w:rPr>
                <w:rFonts w:ascii="Arial" w:cs="Arial" w:eastAsia="Arial" w:hAnsi="Arial"/>
                <w:sz w:val="15"/>
                <w:szCs w:val="15"/>
                <w:b w:val="1"/>
                <w:bCs w:val="1"/>
                <w:color w:val="auto"/>
                <w:w w:val="89"/>
              </w:rPr>
              <w:t>/Sh)(5)</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/Sh)(5)</w:t>
            </w:r>
          </w:p>
        </w:tc>
        <w:tc>
          <w:tcPr>
            <w:tcW w:w="80" w:type="dxa"/>
            <w:vAlign w:val="bottom"/>
          </w:tcPr>
          <w:p>
            <w:pPr>
              <w:spacing w:after="0"/>
              <w:rPr>
                <w:sz w:val="16"/>
                <w:szCs w:val="16"/>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Awards(6)</w:t>
            </w:r>
          </w:p>
        </w:tc>
      </w:tr>
      <w:tr>
        <w:trPr>
          <w:trHeight w:val="264"/>
        </w:trPr>
        <w:tc>
          <w:tcPr>
            <w:tcW w:w="940" w:type="dxa"/>
            <w:vAlign w:val="bottom"/>
            <w:tcBorders>
              <w:left w:val="single" w:sz="8" w:color="auto"/>
            </w:tcBorders>
            <w:shd w:val="clear" w:color="auto" w:fill="E5FFFF"/>
          </w:tcPr>
          <w:p>
            <w:pPr>
              <w:ind w:left="140"/>
              <w:spacing w:after="0"/>
              <w:rPr>
                <w:sz w:val="20"/>
                <w:szCs w:val="20"/>
                <w:color w:val="auto"/>
              </w:rPr>
            </w:pPr>
            <w:r>
              <w:rPr>
                <w:rFonts w:ascii="Arial" w:cs="Arial" w:eastAsia="Arial" w:hAnsi="Arial"/>
                <w:sz w:val="16"/>
                <w:szCs w:val="16"/>
                <w:color w:val="auto"/>
              </w:rPr>
              <w:t>M. Serra</w:t>
            </w:r>
          </w:p>
        </w:tc>
        <w:tc>
          <w:tcPr>
            <w:tcW w:w="98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03/28/07(1)</w:t>
            </w:r>
          </w:p>
        </w:tc>
        <w:tc>
          <w:tcPr>
            <w:tcW w:w="160" w:type="dxa"/>
            <w:vAlign w:val="bottom"/>
            <w:shd w:val="clear" w:color="auto" w:fill="E5FFFF"/>
          </w:tcPr>
          <w:p>
            <w:pPr>
              <w:spacing w:after="0"/>
              <w:rPr>
                <w:sz w:val="22"/>
                <w:szCs w:val="22"/>
                <w:color w:val="auto"/>
              </w:rPr>
            </w:pPr>
          </w:p>
        </w:tc>
        <w:tc>
          <w:tcPr>
            <w:tcW w:w="7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468,750</w:t>
            </w:r>
          </w:p>
        </w:tc>
        <w:tc>
          <w:tcPr>
            <w:tcW w:w="102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1,875,000</w:t>
            </w:r>
          </w:p>
        </w:tc>
        <w:tc>
          <w:tcPr>
            <w:tcW w:w="14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3,000,000</w:t>
            </w:r>
          </w:p>
        </w:tc>
        <w:tc>
          <w:tcPr>
            <w:tcW w:w="16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4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58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60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880" w:type="dxa"/>
            <w:vAlign w:val="bottom"/>
            <w:tcBorders>
              <w:right w:val="single" w:sz="8" w:color="auto"/>
            </w:tcBorders>
            <w:shd w:val="clear" w:color="auto" w:fill="E5FFFF"/>
          </w:tcPr>
          <w:p>
            <w:pPr>
              <w:spacing w:after="0"/>
              <w:rPr>
                <w:sz w:val="22"/>
                <w:szCs w:val="22"/>
                <w:color w:val="auto"/>
              </w:rPr>
            </w:pPr>
          </w:p>
        </w:tc>
      </w:tr>
      <w:tr>
        <w:trPr>
          <w:trHeight w:val="270"/>
        </w:trPr>
        <w:tc>
          <w:tcPr>
            <w:tcW w:w="940" w:type="dxa"/>
            <w:vAlign w:val="bottom"/>
            <w:tcBorders>
              <w:left w:val="single" w:sz="8" w:color="auto"/>
            </w:tcBorders>
          </w:tcPr>
          <w:p>
            <w:pPr>
              <w:spacing w:after="0"/>
              <w:rPr>
                <w:sz w:val="23"/>
                <w:szCs w:val="23"/>
                <w:color w:val="auto"/>
              </w:rPr>
            </w:pPr>
          </w:p>
        </w:tc>
        <w:tc>
          <w:tcPr>
            <w:tcW w:w="98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03/28/07(2)</w:t>
            </w:r>
          </w:p>
        </w:tc>
        <w:tc>
          <w:tcPr>
            <w:tcW w:w="16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337,500</w:t>
            </w:r>
          </w:p>
        </w:tc>
        <w:tc>
          <w:tcPr>
            <w:tcW w:w="1020" w:type="dxa"/>
            <w:vAlign w:val="bottom"/>
            <w:gridSpan w:val="2"/>
          </w:tcPr>
          <w:p>
            <w:pPr>
              <w:jc w:val="right"/>
              <w:ind w:right="26"/>
              <w:spacing w:after="0"/>
              <w:rPr>
                <w:sz w:val="20"/>
                <w:szCs w:val="20"/>
                <w:color w:val="auto"/>
              </w:rPr>
            </w:pPr>
            <w:r>
              <w:rPr>
                <w:rFonts w:ascii="Arial" w:cs="Arial" w:eastAsia="Arial" w:hAnsi="Arial"/>
                <w:sz w:val="16"/>
                <w:szCs w:val="16"/>
                <w:color w:val="auto"/>
              </w:rPr>
              <w:t>1,350,000</w:t>
            </w:r>
          </w:p>
        </w:tc>
        <w:tc>
          <w:tcPr>
            <w:tcW w:w="14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2,700,000</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r>
      <w:tr>
        <w:trPr>
          <w:trHeight w:val="270"/>
        </w:trPr>
        <w:tc>
          <w:tcPr>
            <w:tcW w:w="940" w:type="dxa"/>
            <w:vAlign w:val="bottom"/>
            <w:tcBorders>
              <w:left w:val="single" w:sz="8" w:color="auto"/>
            </w:tcBorders>
            <w:shd w:val="clear" w:color="auto" w:fill="E5FFFF"/>
          </w:tcPr>
          <w:p>
            <w:pPr>
              <w:spacing w:after="0"/>
              <w:rPr>
                <w:sz w:val="23"/>
                <w:szCs w:val="23"/>
                <w:color w:val="auto"/>
              </w:rPr>
            </w:pPr>
          </w:p>
        </w:tc>
        <w:tc>
          <w:tcPr>
            <w:tcW w:w="98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03/28/07(3)</w:t>
            </w: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98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100,000</w:t>
            </w:r>
          </w:p>
        </w:tc>
        <w:tc>
          <w:tcPr>
            <w:tcW w:w="16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60" w:type="dxa"/>
            <w:vAlign w:val="bottom"/>
            <w:tcBorders>
              <w:right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2,342,000</w:t>
            </w:r>
          </w:p>
        </w:tc>
      </w:tr>
      <w:tr>
        <w:trPr>
          <w:trHeight w:val="262"/>
        </w:trPr>
        <w:tc>
          <w:tcPr>
            <w:tcW w:w="940" w:type="dxa"/>
            <w:vAlign w:val="bottom"/>
            <w:tcBorders>
              <w:left w:val="single" w:sz="8" w:color="auto"/>
            </w:tcBorders>
          </w:tcPr>
          <w:p>
            <w:pPr>
              <w:spacing w:after="0"/>
              <w:rPr>
                <w:sz w:val="22"/>
                <w:szCs w:val="22"/>
                <w:color w:val="auto"/>
              </w:rPr>
            </w:pPr>
          </w:p>
        </w:tc>
        <w:tc>
          <w:tcPr>
            <w:tcW w:w="98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03/28/07(4)</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48,500</w:t>
            </w:r>
          </w:p>
        </w:tc>
        <w:tc>
          <w:tcPr>
            <w:tcW w:w="660" w:type="dxa"/>
            <w:vAlign w:val="bottom"/>
            <w:gridSpan w:val="2"/>
          </w:tcPr>
          <w:p>
            <w:pPr>
              <w:jc w:val="right"/>
              <w:ind w:right="6"/>
              <w:spacing w:after="0"/>
              <w:rPr>
                <w:sz w:val="20"/>
                <w:szCs w:val="20"/>
                <w:color w:val="auto"/>
              </w:rPr>
            </w:pPr>
            <w:r>
              <w:rPr>
                <w:rFonts w:ascii="Arial" w:cs="Arial" w:eastAsia="Arial" w:hAnsi="Arial"/>
                <w:sz w:val="16"/>
                <w:szCs w:val="16"/>
                <w:color w:val="auto"/>
              </w:rPr>
              <w:t>23.42</w:t>
            </w:r>
          </w:p>
        </w:tc>
        <w:tc>
          <w:tcPr>
            <w:tcW w:w="680" w:type="dxa"/>
            <w:vAlign w:val="bottom"/>
            <w:gridSpan w:val="2"/>
          </w:tcPr>
          <w:p>
            <w:pPr>
              <w:jc w:val="right"/>
              <w:ind w:right="26"/>
              <w:spacing w:after="0"/>
              <w:rPr>
                <w:sz w:val="20"/>
                <w:szCs w:val="20"/>
                <w:color w:val="auto"/>
              </w:rPr>
            </w:pPr>
            <w:r>
              <w:rPr>
                <w:rFonts w:ascii="Arial" w:cs="Arial" w:eastAsia="Arial" w:hAnsi="Arial"/>
                <w:sz w:val="16"/>
                <w:szCs w:val="16"/>
                <w:color w:val="auto"/>
              </w:rPr>
              <w:t>23.40</w:t>
            </w:r>
          </w:p>
        </w:tc>
        <w:tc>
          <w:tcPr>
            <w:tcW w:w="96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272,153</w:t>
            </w:r>
          </w:p>
        </w:tc>
      </w:tr>
      <w:tr>
        <w:trPr>
          <w:trHeight w:val="49"/>
        </w:trPr>
        <w:tc>
          <w:tcPr>
            <w:tcW w:w="9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r>
      <w:tr>
        <w:trPr>
          <w:trHeight w:val="264"/>
        </w:trPr>
        <w:tc>
          <w:tcPr>
            <w:tcW w:w="940" w:type="dxa"/>
            <w:vAlign w:val="bottom"/>
            <w:tcBorders>
              <w:left w:val="single" w:sz="8" w:color="auto"/>
            </w:tcBorders>
            <w:shd w:val="clear" w:color="auto" w:fill="E5FFFF"/>
          </w:tcPr>
          <w:p>
            <w:pPr>
              <w:ind w:left="140"/>
              <w:spacing w:after="0"/>
              <w:rPr>
                <w:sz w:val="20"/>
                <w:szCs w:val="20"/>
                <w:color w:val="auto"/>
              </w:rPr>
            </w:pPr>
            <w:r>
              <w:rPr>
                <w:rFonts w:ascii="Arial" w:cs="Arial" w:eastAsia="Arial" w:hAnsi="Arial"/>
                <w:sz w:val="16"/>
                <w:szCs w:val="16"/>
                <w:color w:val="auto"/>
                <w:w w:val="97"/>
              </w:rPr>
              <w:t>R. McHugh</w:t>
            </w:r>
          </w:p>
        </w:tc>
        <w:tc>
          <w:tcPr>
            <w:tcW w:w="98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03/28/07(1)</w:t>
            </w:r>
          </w:p>
        </w:tc>
        <w:tc>
          <w:tcPr>
            <w:tcW w:w="160" w:type="dxa"/>
            <w:vAlign w:val="bottom"/>
            <w:shd w:val="clear" w:color="auto" w:fill="E5FFFF"/>
          </w:tcPr>
          <w:p>
            <w:pPr>
              <w:spacing w:after="0"/>
              <w:rPr>
                <w:sz w:val="22"/>
                <w:szCs w:val="22"/>
                <w:color w:val="auto"/>
              </w:rPr>
            </w:pPr>
          </w:p>
        </w:tc>
        <w:tc>
          <w:tcPr>
            <w:tcW w:w="7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98,438</w:t>
            </w:r>
          </w:p>
        </w:tc>
        <w:tc>
          <w:tcPr>
            <w:tcW w:w="102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393,750</w:t>
            </w:r>
          </w:p>
        </w:tc>
        <w:tc>
          <w:tcPr>
            <w:tcW w:w="14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689,063</w:t>
            </w:r>
          </w:p>
        </w:tc>
        <w:tc>
          <w:tcPr>
            <w:tcW w:w="16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4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58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60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880" w:type="dxa"/>
            <w:vAlign w:val="bottom"/>
            <w:tcBorders>
              <w:right w:val="single" w:sz="8" w:color="auto"/>
            </w:tcBorders>
            <w:shd w:val="clear" w:color="auto" w:fill="E5FFFF"/>
          </w:tcPr>
          <w:p>
            <w:pPr>
              <w:spacing w:after="0"/>
              <w:rPr>
                <w:sz w:val="22"/>
                <w:szCs w:val="22"/>
                <w:color w:val="auto"/>
              </w:rPr>
            </w:pPr>
          </w:p>
        </w:tc>
      </w:tr>
      <w:tr>
        <w:trPr>
          <w:trHeight w:val="270"/>
        </w:trPr>
        <w:tc>
          <w:tcPr>
            <w:tcW w:w="940" w:type="dxa"/>
            <w:vAlign w:val="bottom"/>
            <w:tcBorders>
              <w:left w:val="single" w:sz="8" w:color="auto"/>
            </w:tcBorders>
          </w:tcPr>
          <w:p>
            <w:pPr>
              <w:spacing w:after="0"/>
              <w:rPr>
                <w:sz w:val="23"/>
                <w:szCs w:val="23"/>
                <w:color w:val="auto"/>
              </w:rPr>
            </w:pPr>
          </w:p>
        </w:tc>
        <w:tc>
          <w:tcPr>
            <w:tcW w:w="98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03/28/07(2)</w:t>
            </w:r>
          </w:p>
        </w:tc>
        <w:tc>
          <w:tcPr>
            <w:tcW w:w="16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118,125</w:t>
            </w:r>
          </w:p>
        </w:tc>
        <w:tc>
          <w:tcPr>
            <w:tcW w:w="1020" w:type="dxa"/>
            <w:vAlign w:val="bottom"/>
            <w:gridSpan w:val="2"/>
          </w:tcPr>
          <w:p>
            <w:pPr>
              <w:jc w:val="right"/>
              <w:ind w:right="26"/>
              <w:spacing w:after="0"/>
              <w:rPr>
                <w:sz w:val="20"/>
                <w:szCs w:val="20"/>
                <w:color w:val="auto"/>
              </w:rPr>
            </w:pPr>
            <w:r>
              <w:rPr>
                <w:rFonts w:ascii="Arial" w:cs="Arial" w:eastAsia="Arial" w:hAnsi="Arial"/>
                <w:sz w:val="16"/>
                <w:szCs w:val="16"/>
                <w:color w:val="auto"/>
              </w:rPr>
              <w:t>472,500</w:t>
            </w:r>
          </w:p>
        </w:tc>
        <w:tc>
          <w:tcPr>
            <w:tcW w:w="14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945,000</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r>
      <w:tr>
        <w:trPr>
          <w:trHeight w:val="270"/>
        </w:trPr>
        <w:tc>
          <w:tcPr>
            <w:tcW w:w="940" w:type="dxa"/>
            <w:vAlign w:val="bottom"/>
            <w:tcBorders>
              <w:left w:val="single" w:sz="8" w:color="auto"/>
            </w:tcBorders>
            <w:shd w:val="clear" w:color="auto" w:fill="E5FFFF"/>
          </w:tcPr>
          <w:p>
            <w:pPr>
              <w:spacing w:after="0"/>
              <w:rPr>
                <w:sz w:val="23"/>
                <w:szCs w:val="23"/>
                <w:color w:val="auto"/>
              </w:rPr>
            </w:pPr>
          </w:p>
        </w:tc>
        <w:tc>
          <w:tcPr>
            <w:tcW w:w="98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03/28/07(3)</w:t>
            </w: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98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40,000</w:t>
            </w:r>
          </w:p>
        </w:tc>
        <w:tc>
          <w:tcPr>
            <w:tcW w:w="16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60" w:type="dxa"/>
            <w:vAlign w:val="bottom"/>
            <w:tcBorders>
              <w:right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936,800</w:t>
            </w:r>
          </w:p>
        </w:tc>
      </w:tr>
      <w:tr>
        <w:trPr>
          <w:trHeight w:val="262"/>
        </w:trPr>
        <w:tc>
          <w:tcPr>
            <w:tcW w:w="940" w:type="dxa"/>
            <w:vAlign w:val="bottom"/>
            <w:tcBorders>
              <w:left w:val="single" w:sz="8" w:color="auto"/>
            </w:tcBorders>
          </w:tcPr>
          <w:p>
            <w:pPr>
              <w:spacing w:after="0"/>
              <w:rPr>
                <w:sz w:val="22"/>
                <w:szCs w:val="22"/>
                <w:color w:val="auto"/>
              </w:rPr>
            </w:pPr>
          </w:p>
        </w:tc>
        <w:tc>
          <w:tcPr>
            <w:tcW w:w="98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03/28/07(4)</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20,000</w:t>
            </w:r>
          </w:p>
        </w:tc>
        <w:tc>
          <w:tcPr>
            <w:tcW w:w="660" w:type="dxa"/>
            <w:vAlign w:val="bottom"/>
            <w:gridSpan w:val="2"/>
          </w:tcPr>
          <w:p>
            <w:pPr>
              <w:jc w:val="right"/>
              <w:ind w:right="6"/>
              <w:spacing w:after="0"/>
              <w:rPr>
                <w:sz w:val="20"/>
                <w:szCs w:val="20"/>
                <w:color w:val="auto"/>
              </w:rPr>
            </w:pPr>
            <w:r>
              <w:rPr>
                <w:rFonts w:ascii="Arial" w:cs="Arial" w:eastAsia="Arial" w:hAnsi="Arial"/>
                <w:sz w:val="16"/>
                <w:szCs w:val="16"/>
                <w:color w:val="auto"/>
              </w:rPr>
              <w:t>23.42</w:t>
            </w:r>
          </w:p>
        </w:tc>
        <w:tc>
          <w:tcPr>
            <w:tcW w:w="680" w:type="dxa"/>
            <w:vAlign w:val="bottom"/>
            <w:gridSpan w:val="2"/>
          </w:tcPr>
          <w:p>
            <w:pPr>
              <w:jc w:val="right"/>
              <w:ind w:right="26"/>
              <w:spacing w:after="0"/>
              <w:rPr>
                <w:sz w:val="20"/>
                <w:szCs w:val="20"/>
                <w:color w:val="auto"/>
              </w:rPr>
            </w:pPr>
            <w:r>
              <w:rPr>
                <w:rFonts w:ascii="Arial" w:cs="Arial" w:eastAsia="Arial" w:hAnsi="Arial"/>
                <w:sz w:val="16"/>
                <w:szCs w:val="16"/>
                <w:color w:val="auto"/>
              </w:rPr>
              <w:t>23.40</w:t>
            </w:r>
          </w:p>
        </w:tc>
        <w:tc>
          <w:tcPr>
            <w:tcW w:w="96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112,228</w:t>
            </w:r>
          </w:p>
        </w:tc>
      </w:tr>
      <w:tr>
        <w:trPr>
          <w:trHeight w:val="49"/>
        </w:trPr>
        <w:tc>
          <w:tcPr>
            <w:tcW w:w="9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r>
      <w:tr>
        <w:trPr>
          <w:trHeight w:val="264"/>
        </w:trPr>
        <w:tc>
          <w:tcPr>
            <w:tcW w:w="940" w:type="dxa"/>
            <w:vAlign w:val="bottom"/>
            <w:tcBorders>
              <w:left w:val="single" w:sz="8" w:color="auto"/>
            </w:tcBorders>
            <w:shd w:val="clear" w:color="auto" w:fill="E5FFFF"/>
          </w:tcPr>
          <w:p>
            <w:pPr>
              <w:ind w:left="140"/>
              <w:spacing w:after="0"/>
              <w:rPr>
                <w:sz w:val="20"/>
                <w:szCs w:val="20"/>
                <w:color w:val="auto"/>
              </w:rPr>
            </w:pPr>
            <w:r>
              <w:rPr>
                <w:rFonts w:ascii="Arial" w:cs="Arial" w:eastAsia="Arial" w:hAnsi="Arial"/>
                <w:sz w:val="16"/>
                <w:szCs w:val="16"/>
                <w:color w:val="auto"/>
              </w:rPr>
              <w:t>R. Mina</w:t>
            </w:r>
          </w:p>
        </w:tc>
        <w:tc>
          <w:tcPr>
            <w:tcW w:w="98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03/28/07(1)</w:t>
            </w:r>
          </w:p>
        </w:tc>
        <w:tc>
          <w:tcPr>
            <w:tcW w:w="160" w:type="dxa"/>
            <w:vAlign w:val="bottom"/>
            <w:shd w:val="clear" w:color="auto" w:fill="E5FFFF"/>
          </w:tcPr>
          <w:p>
            <w:pPr>
              <w:spacing w:after="0"/>
              <w:rPr>
                <w:sz w:val="22"/>
                <w:szCs w:val="22"/>
                <w:color w:val="auto"/>
              </w:rPr>
            </w:pPr>
          </w:p>
        </w:tc>
        <w:tc>
          <w:tcPr>
            <w:tcW w:w="7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164,063</w:t>
            </w:r>
          </w:p>
        </w:tc>
        <w:tc>
          <w:tcPr>
            <w:tcW w:w="102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656,250</w:t>
            </w:r>
          </w:p>
        </w:tc>
        <w:tc>
          <w:tcPr>
            <w:tcW w:w="14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1,148,438</w:t>
            </w:r>
          </w:p>
        </w:tc>
        <w:tc>
          <w:tcPr>
            <w:tcW w:w="16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4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58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60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880" w:type="dxa"/>
            <w:vAlign w:val="bottom"/>
            <w:tcBorders>
              <w:right w:val="single" w:sz="8" w:color="auto"/>
            </w:tcBorders>
            <w:shd w:val="clear" w:color="auto" w:fill="E5FFFF"/>
          </w:tcPr>
          <w:p>
            <w:pPr>
              <w:spacing w:after="0"/>
              <w:rPr>
                <w:sz w:val="22"/>
                <w:szCs w:val="22"/>
                <w:color w:val="auto"/>
              </w:rPr>
            </w:pPr>
          </w:p>
        </w:tc>
      </w:tr>
      <w:tr>
        <w:trPr>
          <w:trHeight w:val="270"/>
        </w:trPr>
        <w:tc>
          <w:tcPr>
            <w:tcW w:w="940" w:type="dxa"/>
            <w:vAlign w:val="bottom"/>
            <w:tcBorders>
              <w:left w:val="single" w:sz="8" w:color="auto"/>
            </w:tcBorders>
          </w:tcPr>
          <w:p>
            <w:pPr>
              <w:spacing w:after="0"/>
              <w:rPr>
                <w:sz w:val="23"/>
                <w:szCs w:val="23"/>
                <w:color w:val="auto"/>
              </w:rPr>
            </w:pPr>
          </w:p>
        </w:tc>
        <w:tc>
          <w:tcPr>
            <w:tcW w:w="98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03/28/07(2)</w:t>
            </w:r>
          </w:p>
        </w:tc>
        <w:tc>
          <w:tcPr>
            <w:tcW w:w="16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196,875</w:t>
            </w:r>
          </w:p>
        </w:tc>
        <w:tc>
          <w:tcPr>
            <w:tcW w:w="1020" w:type="dxa"/>
            <w:vAlign w:val="bottom"/>
            <w:gridSpan w:val="2"/>
          </w:tcPr>
          <w:p>
            <w:pPr>
              <w:jc w:val="right"/>
              <w:ind w:right="26"/>
              <w:spacing w:after="0"/>
              <w:rPr>
                <w:sz w:val="20"/>
                <w:szCs w:val="20"/>
                <w:color w:val="auto"/>
              </w:rPr>
            </w:pPr>
            <w:r>
              <w:rPr>
                <w:rFonts w:ascii="Arial" w:cs="Arial" w:eastAsia="Arial" w:hAnsi="Arial"/>
                <w:sz w:val="16"/>
                <w:szCs w:val="16"/>
                <w:color w:val="auto"/>
              </w:rPr>
              <w:t>787,500</w:t>
            </w:r>
          </w:p>
        </w:tc>
        <w:tc>
          <w:tcPr>
            <w:tcW w:w="14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1,575,000</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r>
      <w:tr>
        <w:trPr>
          <w:trHeight w:val="270"/>
        </w:trPr>
        <w:tc>
          <w:tcPr>
            <w:tcW w:w="940" w:type="dxa"/>
            <w:vAlign w:val="bottom"/>
            <w:tcBorders>
              <w:left w:val="single" w:sz="8" w:color="auto"/>
            </w:tcBorders>
            <w:shd w:val="clear" w:color="auto" w:fill="E5FFFF"/>
          </w:tcPr>
          <w:p>
            <w:pPr>
              <w:spacing w:after="0"/>
              <w:rPr>
                <w:sz w:val="23"/>
                <w:szCs w:val="23"/>
                <w:color w:val="auto"/>
              </w:rPr>
            </w:pPr>
          </w:p>
        </w:tc>
        <w:tc>
          <w:tcPr>
            <w:tcW w:w="98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03/28/07(3)</w:t>
            </w: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98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40,000</w:t>
            </w:r>
          </w:p>
        </w:tc>
        <w:tc>
          <w:tcPr>
            <w:tcW w:w="16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60" w:type="dxa"/>
            <w:vAlign w:val="bottom"/>
            <w:tcBorders>
              <w:right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936,800</w:t>
            </w:r>
          </w:p>
        </w:tc>
      </w:tr>
      <w:tr>
        <w:trPr>
          <w:trHeight w:val="262"/>
        </w:trPr>
        <w:tc>
          <w:tcPr>
            <w:tcW w:w="940" w:type="dxa"/>
            <w:vAlign w:val="bottom"/>
            <w:tcBorders>
              <w:left w:val="single" w:sz="8" w:color="auto"/>
            </w:tcBorders>
          </w:tcPr>
          <w:p>
            <w:pPr>
              <w:spacing w:after="0"/>
              <w:rPr>
                <w:sz w:val="22"/>
                <w:szCs w:val="22"/>
                <w:color w:val="auto"/>
              </w:rPr>
            </w:pPr>
          </w:p>
        </w:tc>
        <w:tc>
          <w:tcPr>
            <w:tcW w:w="98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03/28/07(4)</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30,000</w:t>
            </w:r>
          </w:p>
        </w:tc>
        <w:tc>
          <w:tcPr>
            <w:tcW w:w="660" w:type="dxa"/>
            <w:vAlign w:val="bottom"/>
            <w:gridSpan w:val="2"/>
          </w:tcPr>
          <w:p>
            <w:pPr>
              <w:jc w:val="right"/>
              <w:ind w:right="6"/>
              <w:spacing w:after="0"/>
              <w:rPr>
                <w:sz w:val="20"/>
                <w:szCs w:val="20"/>
                <w:color w:val="auto"/>
              </w:rPr>
            </w:pPr>
            <w:r>
              <w:rPr>
                <w:rFonts w:ascii="Arial" w:cs="Arial" w:eastAsia="Arial" w:hAnsi="Arial"/>
                <w:sz w:val="16"/>
                <w:szCs w:val="16"/>
                <w:color w:val="auto"/>
              </w:rPr>
              <w:t>23.42</w:t>
            </w:r>
          </w:p>
        </w:tc>
        <w:tc>
          <w:tcPr>
            <w:tcW w:w="680" w:type="dxa"/>
            <w:vAlign w:val="bottom"/>
            <w:gridSpan w:val="2"/>
          </w:tcPr>
          <w:p>
            <w:pPr>
              <w:jc w:val="right"/>
              <w:ind w:right="26"/>
              <w:spacing w:after="0"/>
              <w:rPr>
                <w:sz w:val="20"/>
                <w:szCs w:val="20"/>
                <w:color w:val="auto"/>
              </w:rPr>
            </w:pPr>
            <w:r>
              <w:rPr>
                <w:rFonts w:ascii="Arial" w:cs="Arial" w:eastAsia="Arial" w:hAnsi="Arial"/>
                <w:sz w:val="16"/>
                <w:szCs w:val="16"/>
                <w:color w:val="auto"/>
              </w:rPr>
              <w:t>23.40</w:t>
            </w:r>
          </w:p>
        </w:tc>
        <w:tc>
          <w:tcPr>
            <w:tcW w:w="96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168,342</w:t>
            </w:r>
          </w:p>
        </w:tc>
      </w:tr>
      <w:tr>
        <w:trPr>
          <w:trHeight w:val="49"/>
        </w:trPr>
        <w:tc>
          <w:tcPr>
            <w:tcW w:w="9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r>
      <w:tr>
        <w:trPr>
          <w:trHeight w:val="264"/>
        </w:trPr>
        <w:tc>
          <w:tcPr>
            <w:tcW w:w="940" w:type="dxa"/>
            <w:vAlign w:val="bottom"/>
            <w:tcBorders>
              <w:left w:val="single" w:sz="8" w:color="auto"/>
            </w:tcBorders>
            <w:shd w:val="clear" w:color="auto" w:fill="E5FFFF"/>
          </w:tcPr>
          <w:p>
            <w:pPr>
              <w:ind w:left="140"/>
              <w:spacing w:after="0"/>
              <w:rPr>
                <w:sz w:val="20"/>
                <w:szCs w:val="20"/>
                <w:color w:val="auto"/>
              </w:rPr>
            </w:pPr>
            <w:r>
              <w:rPr>
                <w:rFonts w:ascii="Arial" w:cs="Arial" w:eastAsia="Arial" w:hAnsi="Arial"/>
                <w:sz w:val="16"/>
                <w:szCs w:val="16"/>
                <w:color w:val="auto"/>
              </w:rPr>
              <w:t>R. Halls</w:t>
            </w:r>
          </w:p>
        </w:tc>
        <w:tc>
          <w:tcPr>
            <w:tcW w:w="98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03/28/07(1)</w:t>
            </w:r>
          </w:p>
        </w:tc>
        <w:tc>
          <w:tcPr>
            <w:tcW w:w="160" w:type="dxa"/>
            <w:vAlign w:val="bottom"/>
            <w:shd w:val="clear" w:color="auto" w:fill="E5FFFF"/>
          </w:tcPr>
          <w:p>
            <w:pPr>
              <w:spacing w:after="0"/>
              <w:rPr>
                <w:sz w:val="22"/>
                <w:szCs w:val="22"/>
                <w:color w:val="auto"/>
              </w:rPr>
            </w:pPr>
          </w:p>
        </w:tc>
        <w:tc>
          <w:tcPr>
            <w:tcW w:w="7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121,875</w:t>
            </w:r>
          </w:p>
        </w:tc>
        <w:tc>
          <w:tcPr>
            <w:tcW w:w="102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487,500</w:t>
            </w:r>
          </w:p>
        </w:tc>
        <w:tc>
          <w:tcPr>
            <w:tcW w:w="14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853,125</w:t>
            </w:r>
          </w:p>
        </w:tc>
        <w:tc>
          <w:tcPr>
            <w:tcW w:w="16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4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58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60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880" w:type="dxa"/>
            <w:vAlign w:val="bottom"/>
            <w:tcBorders>
              <w:right w:val="single" w:sz="8" w:color="auto"/>
            </w:tcBorders>
            <w:shd w:val="clear" w:color="auto" w:fill="E5FFFF"/>
          </w:tcPr>
          <w:p>
            <w:pPr>
              <w:spacing w:after="0"/>
              <w:rPr>
                <w:sz w:val="22"/>
                <w:szCs w:val="22"/>
                <w:color w:val="auto"/>
              </w:rPr>
            </w:pPr>
          </w:p>
        </w:tc>
      </w:tr>
      <w:tr>
        <w:trPr>
          <w:trHeight w:val="270"/>
        </w:trPr>
        <w:tc>
          <w:tcPr>
            <w:tcW w:w="940" w:type="dxa"/>
            <w:vAlign w:val="bottom"/>
            <w:tcBorders>
              <w:left w:val="single" w:sz="8" w:color="auto"/>
            </w:tcBorders>
          </w:tcPr>
          <w:p>
            <w:pPr>
              <w:spacing w:after="0"/>
              <w:rPr>
                <w:sz w:val="23"/>
                <w:szCs w:val="23"/>
                <w:color w:val="auto"/>
              </w:rPr>
            </w:pPr>
          </w:p>
        </w:tc>
        <w:tc>
          <w:tcPr>
            <w:tcW w:w="98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03/28/07(2)</w:t>
            </w:r>
          </w:p>
        </w:tc>
        <w:tc>
          <w:tcPr>
            <w:tcW w:w="16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146,250</w:t>
            </w:r>
          </w:p>
        </w:tc>
        <w:tc>
          <w:tcPr>
            <w:tcW w:w="1020" w:type="dxa"/>
            <w:vAlign w:val="bottom"/>
            <w:gridSpan w:val="2"/>
          </w:tcPr>
          <w:p>
            <w:pPr>
              <w:jc w:val="right"/>
              <w:ind w:right="26"/>
              <w:spacing w:after="0"/>
              <w:rPr>
                <w:sz w:val="20"/>
                <w:szCs w:val="20"/>
                <w:color w:val="auto"/>
              </w:rPr>
            </w:pPr>
            <w:r>
              <w:rPr>
                <w:rFonts w:ascii="Arial" w:cs="Arial" w:eastAsia="Arial" w:hAnsi="Arial"/>
                <w:sz w:val="16"/>
                <w:szCs w:val="16"/>
                <w:color w:val="auto"/>
              </w:rPr>
              <w:t>585,000</w:t>
            </w:r>
          </w:p>
        </w:tc>
        <w:tc>
          <w:tcPr>
            <w:tcW w:w="14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1,170,000</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r>
      <w:tr>
        <w:trPr>
          <w:trHeight w:val="270"/>
        </w:trPr>
        <w:tc>
          <w:tcPr>
            <w:tcW w:w="940" w:type="dxa"/>
            <w:vAlign w:val="bottom"/>
            <w:tcBorders>
              <w:left w:val="single" w:sz="8" w:color="auto"/>
            </w:tcBorders>
            <w:shd w:val="clear" w:color="auto" w:fill="E5FFFF"/>
          </w:tcPr>
          <w:p>
            <w:pPr>
              <w:spacing w:after="0"/>
              <w:rPr>
                <w:sz w:val="23"/>
                <w:szCs w:val="23"/>
                <w:color w:val="auto"/>
              </w:rPr>
            </w:pPr>
          </w:p>
        </w:tc>
        <w:tc>
          <w:tcPr>
            <w:tcW w:w="98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03/28/07(3)</w:t>
            </w: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98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20,000</w:t>
            </w:r>
          </w:p>
        </w:tc>
        <w:tc>
          <w:tcPr>
            <w:tcW w:w="16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60" w:type="dxa"/>
            <w:vAlign w:val="bottom"/>
            <w:tcBorders>
              <w:right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468,400</w:t>
            </w:r>
          </w:p>
        </w:tc>
      </w:tr>
      <w:tr>
        <w:trPr>
          <w:trHeight w:val="262"/>
        </w:trPr>
        <w:tc>
          <w:tcPr>
            <w:tcW w:w="940" w:type="dxa"/>
            <w:vAlign w:val="bottom"/>
            <w:tcBorders>
              <w:left w:val="single" w:sz="8" w:color="auto"/>
            </w:tcBorders>
          </w:tcPr>
          <w:p>
            <w:pPr>
              <w:spacing w:after="0"/>
              <w:rPr>
                <w:sz w:val="22"/>
                <w:szCs w:val="22"/>
                <w:color w:val="auto"/>
              </w:rPr>
            </w:pPr>
          </w:p>
        </w:tc>
        <w:tc>
          <w:tcPr>
            <w:tcW w:w="98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03/28/07(4)</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60" w:type="dxa"/>
            <w:vAlign w:val="bottom"/>
            <w:gridSpan w:val="2"/>
          </w:tcPr>
          <w:p>
            <w:pPr>
              <w:jc w:val="right"/>
              <w:ind w:right="26"/>
              <w:spacing w:after="0"/>
              <w:rPr>
                <w:sz w:val="20"/>
                <w:szCs w:val="20"/>
                <w:color w:val="auto"/>
              </w:rPr>
            </w:pPr>
            <w:r>
              <w:rPr>
                <w:rFonts w:ascii="Arial" w:cs="Arial" w:eastAsia="Arial" w:hAnsi="Arial"/>
                <w:sz w:val="16"/>
                <w:szCs w:val="16"/>
                <w:color w:val="auto"/>
              </w:rPr>
              <w:t>30,000</w:t>
            </w:r>
          </w:p>
        </w:tc>
        <w:tc>
          <w:tcPr>
            <w:tcW w:w="660" w:type="dxa"/>
            <w:vAlign w:val="bottom"/>
            <w:gridSpan w:val="2"/>
          </w:tcPr>
          <w:p>
            <w:pPr>
              <w:jc w:val="right"/>
              <w:ind w:right="6"/>
              <w:spacing w:after="0"/>
              <w:rPr>
                <w:sz w:val="20"/>
                <w:szCs w:val="20"/>
                <w:color w:val="auto"/>
              </w:rPr>
            </w:pPr>
            <w:r>
              <w:rPr>
                <w:rFonts w:ascii="Arial" w:cs="Arial" w:eastAsia="Arial" w:hAnsi="Arial"/>
                <w:sz w:val="16"/>
                <w:szCs w:val="16"/>
                <w:color w:val="auto"/>
              </w:rPr>
              <w:t>23.42</w:t>
            </w:r>
          </w:p>
        </w:tc>
        <w:tc>
          <w:tcPr>
            <w:tcW w:w="680" w:type="dxa"/>
            <w:vAlign w:val="bottom"/>
            <w:gridSpan w:val="2"/>
          </w:tcPr>
          <w:p>
            <w:pPr>
              <w:jc w:val="right"/>
              <w:ind w:right="26"/>
              <w:spacing w:after="0"/>
              <w:rPr>
                <w:sz w:val="20"/>
                <w:szCs w:val="20"/>
                <w:color w:val="auto"/>
              </w:rPr>
            </w:pPr>
            <w:r>
              <w:rPr>
                <w:rFonts w:ascii="Arial" w:cs="Arial" w:eastAsia="Arial" w:hAnsi="Arial"/>
                <w:sz w:val="16"/>
                <w:szCs w:val="16"/>
                <w:color w:val="auto"/>
              </w:rPr>
              <w:t>23.40</w:t>
            </w:r>
          </w:p>
        </w:tc>
        <w:tc>
          <w:tcPr>
            <w:tcW w:w="960" w:type="dxa"/>
            <w:vAlign w:val="bottom"/>
            <w:tcBorders>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168,342</w:t>
            </w:r>
          </w:p>
        </w:tc>
      </w:tr>
      <w:tr>
        <w:trPr>
          <w:trHeight w:val="49"/>
        </w:trPr>
        <w:tc>
          <w:tcPr>
            <w:tcW w:w="94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r>
      <w:tr>
        <w:trPr>
          <w:trHeight w:val="264"/>
        </w:trPr>
        <w:tc>
          <w:tcPr>
            <w:tcW w:w="940" w:type="dxa"/>
            <w:vAlign w:val="bottom"/>
            <w:tcBorders>
              <w:left w:val="single" w:sz="8" w:color="auto"/>
            </w:tcBorders>
            <w:shd w:val="clear" w:color="auto" w:fill="E5FFFF"/>
          </w:tcPr>
          <w:p>
            <w:pPr>
              <w:ind w:left="140"/>
              <w:spacing w:after="0"/>
              <w:rPr>
                <w:sz w:val="20"/>
                <w:szCs w:val="20"/>
                <w:color w:val="auto"/>
              </w:rPr>
            </w:pPr>
            <w:r>
              <w:rPr>
                <w:rFonts w:ascii="Arial" w:cs="Arial" w:eastAsia="Arial" w:hAnsi="Arial"/>
                <w:sz w:val="16"/>
                <w:szCs w:val="16"/>
                <w:color w:val="auto"/>
              </w:rPr>
              <w:t>G. Bahler</w:t>
            </w:r>
          </w:p>
        </w:tc>
        <w:tc>
          <w:tcPr>
            <w:tcW w:w="98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03/28/07(1)</w:t>
            </w:r>
          </w:p>
        </w:tc>
        <w:tc>
          <w:tcPr>
            <w:tcW w:w="160" w:type="dxa"/>
            <w:vAlign w:val="bottom"/>
            <w:shd w:val="clear" w:color="auto" w:fill="E5FFFF"/>
          </w:tcPr>
          <w:p>
            <w:pPr>
              <w:spacing w:after="0"/>
              <w:rPr>
                <w:sz w:val="22"/>
                <w:szCs w:val="22"/>
                <w:color w:val="auto"/>
              </w:rPr>
            </w:pPr>
          </w:p>
        </w:tc>
        <w:tc>
          <w:tcPr>
            <w:tcW w:w="7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98,438</w:t>
            </w:r>
          </w:p>
        </w:tc>
        <w:tc>
          <w:tcPr>
            <w:tcW w:w="102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393,750</w:t>
            </w:r>
          </w:p>
        </w:tc>
        <w:tc>
          <w:tcPr>
            <w:tcW w:w="14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689,063</w:t>
            </w:r>
          </w:p>
        </w:tc>
        <w:tc>
          <w:tcPr>
            <w:tcW w:w="16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48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7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820" w:type="dxa"/>
            <w:vAlign w:val="bottom"/>
            <w:shd w:val="clear" w:color="auto" w:fill="E5FFFF"/>
          </w:tcPr>
          <w:p>
            <w:pPr>
              <w:spacing w:after="0"/>
              <w:rPr>
                <w:sz w:val="22"/>
                <w:szCs w:val="22"/>
                <w:color w:val="auto"/>
              </w:rPr>
            </w:pPr>
          </w:p>
        </w:tc>
        <w:tc>
          <w:tcPr>
            <w:tcW w:w="160" w:type="dxa"/>
            <w:vAlign w:val="bottom"/>
            <w:shd w:val="clear" w:color="auto" w:fill="E5FFFF"/>
          </w:tcPr>
          <w:p>
            <w:pPr>
              <w:spacing w:after="0"/>
              <w:rPr>
                <w:sz w:val="22"/>
                <w:szCs w:val="22"/>
                <w:color w:val="auto"/>
              </w:rPr>
            </w:pPr>
          </w:p>
        </w:tc>
        <w:tc>
          <w:tcPr>
            <w:tcW w:w="70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58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600" w:type="dxa"/>
            <w:vAlign w:val="bottom"/>
            <w:shd w:val="clear" w:color="auto" w:fill="E5FFFF"/>
          </w:tcPr>
          <w:p>
            <w:pPr>
              <w:spacing w:after="0"/>
              <w:rPr>
                <w:sz w:val="22"/>
                <w:szCs w:val="22"/>
                <w:color w:val="auto"/>
              </w:rPr>
            </w:pPr>
          </w:p>
        </w:tc>
        <w:tc>
          <w:tcPr>
            <w:tcW w:w="80" w:type="dxa"/>
            <w:vAlign w:val="bottom"/>
            <w:shd w:val="clear" w:color="auto" w:fill="E5FFFF"/>
          </w:tcPr>
          <w:p>
            <w:pPr>
              <w:spacing w:after="0"/>
              <w:rPr>
                <w:sz w:val="22"/>
                <w:szCs w:val="22"/>
                <w:color w:val="auto"/>
              </w:rPr>
            </w:pPr>
          </w:p>
        </w:tc>
        <w:tc>
          <w:tcPr>
            <w:tcW w:w="880" w:type="dxa"/>
            <w:vAlign w:val="bottom"/>
            <w:tcBorders>
              <w:right w:val="single" w:sz="8" w:color="auto"/>
            </w:tcBorders>
            <w:shd w:val="clear" w:color="auto" w:fill="E5FFFF"/>
          </w:tcPr>
          <w:p>
            <w:pPr>
              <w:spacing w:after="0"/>
              <w:rPr>
                <w:sz w:val="22"/>
                <w:szCs w:val="22"/>
                <w:color w:val="auto"/>
              </w:rPr>
            </w:pPr>
          </w:p>
        </w:tc>
      </w:tr>
      <w:tr>
        <w:trPr>
          <w:trHeight w:val="270"/>
        </w:trPr>
        <w:tc>
          <w:tcPr>
            <w:tcW w:w="940" w:type="dxa"/>
            <w:vAlign w:val="bottom"/>
            <w:tcBorders>
              <w:left w:val="single" w:sz="8" w:color="auto"/>
            </w:tcBorders>
          </w:tcPr>
          <w:p>
            <w:pPr>
              <w:spacing w:after="0"/>
              <w:rPr>
                <w:sz w:val="23"/>
                <w:szCs w:val="23"/>
                <w:color w:val="auto"/>
              </w:rPr>
            </w:pPr>
          </w:p>
        </w:tc>
        <w:tc>
          <w:tcPr>
            <w:tcW w:w="980" w:type="dxa"/>
            <w:vAlign w:val="bottom"/>
            <w:gridSpan w:val="2"/>
          </w:tcPr>
          <w:p>
            <w:pPr>
              <w:jc w:val="center"/>
              <w:ind w:left="81"/>
              <w:spacing w:after="0"/>
              <w:rPr>
                <w:sz w:val="20"/>
                <w:szCs w:val="20"/>
                <w:color w:val="auto"/>
              </w:rPr>
            </w:pPr>
            <w:r>
              <w:rPr>
                <w:rFonts w:ascii="Arial" w:cs="Arial" w:eastAsia="Arial" w:hAnsi="Arial"/>
                <w:sz w:val="16"/>
                <w:szCs w:val="16"/>
                <w:color w:val="auto"/>
                <w:w w:val="90"/>
              </w:rPr>
              <w:t>03/28/07(2)</w:t>
            </w:r>
          </w:p>
        </w:tc>
        <w:tc>
          <w:tcPr>
            <w:tcW w:w="16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118,125</w:t>
            </w:r>
          </w:p>
        </w:tc>
        <w:tc>
          <w:tcPr>
            <w:tcW w:w="1020" w:type="dxa"/>
            <w:vAlign w:val="bottom"/>
            <w:gridSpan w:val="2"/>
          </w:tcPr>
          <w:p>
            <w:pPr>
              <w:jc w:val="right"/>
              <w:ind w:right="26"/>
              <w:spacing w:after="0"/>
              <w:rPr>
                <w:sz w:val="20"/>
                <w:szCs w:val="20"/>
                <w:color w:val="auto"/>
              </w:rPr>
            </w:pPr>
            <w:r>
              <w:rPr>
                <w:rFonts w:ascii="Arial" w:cs="Arial" w:eastAsia="Arial" w:hAnsi="Arial"/>
                <w:sz w:val="16"/>
                <w:szCs w:val="16"/>
                <w:color w:val="auto"/>
              </w:rPr>
              <w:t>472,500</w:t>
            </w:r>
          </w:p>
        </w:tc>
        <w:tc>
          <w:tcPr>
            <w:tcW w:w="140" w:type="dxa"/>
            <w:vAlign w:val="bottom"/>
          </w:tcPr>
          <w:p>
            <w:pPr>
              <w:spacing w:after="0"/>
              <w:rPr>
                <w:sz w:val="23"/>
                <w:szCs w:val="23"/>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945,000</w:t>
            </w: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r>
      <w:tr>
        <w:trPr>
          <w:trHeight w:val="270"/>
        </w:trPr>
        <w:tc>
          <w:tcPr>
            <w:tcW w:w="940" w:type="dxa"/>
            <w:vAlign w:val="bottom"/>
            <w:tcBorders>
              <w:left w:val="single" w:sz="8" w:color="auto"/>
            </w:tcBorders>
            <w:shd w:val="clear" w:color="auto" w:fill="E5FFFF"/>
          </w:tcPr>
          <w:p>
            <w:pPr>
              <w:spacing w:after="0"/>
              <w:rPr>
                <w:sz w:val="23"/>
                <w:szCs w:val="23"/>
                <w:color w:val="auto"/>
              </w:rPr>
            </w:pPr>
          </w:p>
        </w:tc>
        <w:tc>
          <w:tcPr>
            <w:tcW w:w="980" w:type="dxa"/>
            <w:vAlign w:val="bottom"/>
            <w:gridSpan w:val="2"/>
            <w:shd w:val="clear" w:color="auto" w:fill="E5FFFF"/>
          </w:tcPr>
          <w:p>
            <w:pPr>
              <w:jc w:val="center"/>
              <w:ind w:left="81"/>
              <w:spacing w:after="0"/>
              <w:rPr>
                <w:sz w:val="20"/>
                <w:szCs w:val="20"/>
                <w:color w:val="auto"/>
              </w:rPr>
            </w:pPr>
            <w:r>
              <w:rPr>
                <w:rFonts w:ascii="Arial" w:cs="Arial" w:eastAsia="Arial" w:hAnsi="Arial"/>
                <w:sz w:val="16"/>
                <w:szCs w:val="16"/>
                <w:color w:val="auto"/>
                <w:w w:val="90"/>
              </w:rPr>
              <w:t>03/28/07(3)</w:t>
            </w:r>
          </w:p>
        </w:tc>
        <w:tc>
          <w:tcPr>
            <w:tcW w:w="160" w:type="dxa"/>
            <w:vAlign w:val="bottom"/>
            <w:shd w:val="clear" w:color="auto" w:fill="E5FFFF"/>
          </w:tcPr>
          <w:p>
            <w:pPr>
              <w:spacing w:after="0"/>
              <w:rPr>
                <w:sz w:val="23"/>
                <w:szCs w:val="23"/>
                <w:color w:val="auto"/>
              </w:rPr>
            </w:pPr>
          </w:p>
        </w:tc>
        <w:tc>
          <w:tcPr>
            <w:tcW w:w="7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86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480" w:type="dxa"/>
            <w:vAlign w:val="bottom"/>
            <w:shd w:val="clear" w:color="auto" w:fill="E5FFFF"/>
          </w:tcPr>
          <w:p>
            <w:pPr>
              <w:spacing w:after="0"/>
              <w:rPr>
                <w:sz w:val="23"/>
                <w:szCs w:val="23"/>
                <w:color w:val="auto"/>
              </w:rPr>
            </w:pPr>
          </w:p>
        </w:tc>
        <w:tc>
          <w:tcPr>
            <w:tcW w:w="160" w:type="dxa"/>
            <w:vAlign w:val="bottom"/>
            <w:shd w:val="clear" w:color="auto" w:fill="E5FFFF"/>
          </w:tcPr>
          <w:p>
            <w:pPr>
              <w:spacing w:after="0"/>
              <w:rPr>
                <w:sz w:val="23"/>
                <w:szCs w:val="23"/>
                <w:color w:val="auto"/>
              </w:rPr>
            </w:pPr>
          </w:p>
        </w:tc>
        <w:tc>
          <w:tcPr>
            <w:tcW w:w="20" w:type="dxa"/>
            <w:vAlign w:val="bottom"/>
            <w:shd w:val="clear" w:color="auto" w:fill="E5FFFF"/>
          </w:tcPr>
          <w:p>
            <w:pPr>
              <w:spacing w:after="0"/>
              <w:rPr>
                <w:sz w:val="23"/>
                <w:szCs w:val="23"/>
                <w:color w:val="auto"/>
              </w:rPr>
            </w:pPr>
          </w:p>
        </w:tc>
        <w:tc>
          <w:tcPr>
            <w:tcW w:w="720" w:type="dxa"/>
            <w:vAlign w:val="bottom"/>
            <w:shd w:val="clear" w:color="auto" w:fill="E5FFFF"/>
          </w:tcPr>
          <w:p>
            <w:pPr>
              <w:spacing w:after="0"/>
              <w:rPr>
                <w:sz w:val="23"/>
                <w:szCs w:val="23"/>
                <w:color w:val="auto"/>
              </w:rPr>
            </w:pPr>
          </w:p>
        </w:tc>
        <w:tc>
          <w:tcPr>
            <w:tcW w:w="980" w:type="dxa"/>
            <w:vAlign w:val="bottom"/>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40,000</w:t>
            </w:r>
          </w:p>
        </w:tc>
        <w:tc>
          <w:tcPr>
            <w:tcW w:w="160" w:type="dxa"/>
            <w:vAlign w:val="bottom"/>
            <w:shd w:val="clear" w:color="auto" w:fill="E5FFFF"/>
          </w:tcPr>
          <w:p>
            <w:pPr>
              <w:spacing w:after="0"/>
              <w:rPr>
                <w:sz w:val="23"/>
                <w:szCs w:val="23"/>
                <w:color w:val="auto"/>
              </w:rPr>
            </w:pPr>
          </w:p>
        </w:tc>
        <w:tc>
          <w:tcPr>
            <w:tcW w:w="70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580" w:type="dxa"/>
            <w:vAlign w:val="bottom"/>
            <w:shd w:val="clear" w:color="auto" w:fill="E5FFFF"/>
          </w:tcPr>
          <w:p>
            <w:pPr>
              <w:spacing w:after="0"/>
              <w:rPr>
                <w:sz w:val="23"/>
                <w:szCs w:val="23"/>
                <w:color w:val="auto"/>
              </w:rPr>
            </w:pPr>
          </w:p>
        </w:tc>
        <w:tc>
          <w:tcPr>
            <w:tcW w:w="80" w:type="dxa"/>
            <w:vAlign w:val="bottom"/>
            <w:shd w:val="clear" w:color="auto" w:fill="E5FFFF"/>
          </w:tcPr>
          <w:p>
            <w:pPr>
              <w:spacing w:after="0"/>
              <w:rPr>
                <w:sz w:val="23"/>
                <w:szCs w:val="23"/>
                <w:color w:val="auto"/>
              </w:rPr>
            </w:pPr>
          </w:p>
        </w:tc>
        <w:tc>
          <w:tcPr>
            <w:tcW w:w="600" w:type="dxa"/>
            <w:vAlign w:val="bottom"/>
            <w:shd w:val="clear" w:color="auto" w:fill="E5FFFF"/>
          </w:tcPr>
          <w:p>
            <w:pPr>
              <w:spacing w:after="0"/>
              <w:rPr>
                <w:sz w:val="23"/>
                <w:szCs w:val="23"/>
                <w:color w:val="auto"/>
              </w:rPr>
            </w:pPr>
          </w:p>
        </w:tc>
        <w:tc>
          <w:tcPr>
            <w:tcW w:w="960" w:type="dxa"/>
            <w:vAlign w:val="bottom"/>
            <w:tcBorders>
              <w:right w:val="single" w:sz="8" w:color="auto"/>
            </w:tcBorders>
            <w:gridSpan w:val="2"/>
            <w:shd w:val="clear" w:color="auto" w:fill="E5FFFF"/>
          </w:tcPr>
          <w:p>
            <w:pPr>
              <w:jc w:val="right"/>
              <w:ind w:right="26"/>
              <w:spacing w:after="0"/>
              <w:rPr>
                <w:sz w:val="20"/>
                <w:szCs w:val="20"/>
                <w:color w:val="auto"/>
              </w:rPr>
            </w:pPr>
            <w:r>
              <w:rPr>
                <w:rFonts w:ascii="Arial" w:cs="Arial" w:eastAsia="Arial" w:hAnsi="Arial"/>
                <w:sz w:val="16"/>
                <w:szCs w:val="16"/>
                <w:color w:val="auto"/>
              </w:rPr>
              <w:t>936,800</w:t>
            </w:r>
          </w:p>
        </w:tc>
      </w:tr>
      <w:tr>
        <w:trPr>
          <w:trHeight w:val="267"/>
        </w:trPr>
        <w:tc>
          <w:tcPr>
            <w:tcW w:w="940" w:type="dxa"/>
            <w:vAlign w:val="bottom"/>
            <w:tcBorders>
              <w:left w:val="single" w:sz="8" w:color="auto"/>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center"/>
              <w:ind w:left="81"/>
              <w:spacing w:after="0"/>
              <w:rPr>
                <w:sz w:val="20"/>
                <w:szCs w:val="20"/>
                <w:color w:val="auto"/>
              </w:rPr>
            </w:pPr>
            <w:r>
              <w:rPr>
                <w:rFonts w:ascii="Arial" w:cs="Arial" w:eastAsia="Arial" w:hAnsi="Arial"/>
                <w:sz w:val="16"/>
                <w:szCs w:val="16"/>
                <w:color w:val="auto"/>
                <w:w w:val="90"/>
              </w:rPr>
              <w:t>03/28/07(4)</w:t>
            </w: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20,000</w:t>
            </w:r>
          </w:p>
        </w:tc>
        <w:tc>
          <w:tcPr>
            <w:tcW w:w="6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6"/>
                <w:szCs w:val="16"/>
                <w:color w:val="auto"/>
              </w:rPr>
              <w:t>23.42</w:t>
            </w:r>
          </w:p>
        </w:tc>
        <w:tc>
          <w:tcPr>
            <w:tcW w:w="6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23.40</w:t>
            </w:r>
          </w:p>
        </w:tc>
        <w:tc>
          <w:tcPr>
            <w:tcW w:w="960" w:type="dxa"/>
            <w:vAlign w:val="bottom"/>
            <w:tcBorders>
              <w:bottom w:val="single" w:sz="8" w:color="auto"/>
              <w:right w:val="single" w:sz="8" w:color="auto"/>
            </w:tcBorders>
            <w:gridSpan w:val="2"/>
          </w:tcPr>
          <w:p>
            <w:pPr>
              <w:jc w:val="right"/>
              <w:ind w:right="26"/>
              <w:spacing w:after="0"/>
              <w:rPr>
                <w:sz w:val="20"/>
                <w:szCs w:val="20"/>
                <w:color w:val="auto"/>
              </w:rPr>
            </w:pPr>
            <w:r>
              <w:rPr>
                <w:rFonts w:ascii="Arial" w:cs="Arial" w:eastAsia="Arial" w:hAnsi="Arial"/>
                <w:sz w:val="16"/>
                <w:szCs w:val="16"/>
                <w:color w:val="auto"/>
              </w:rPr>
              <w:t>112,228</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Grants of Plan-Based Awards Table</w:t>
      </w:r>
    </w:p>
    <w:p>
      <w:pPr>
        <w:spacing w:after="0" w:line="167" w:lineRule="exact"/>
        <w:rPr>
          <w:sz w:val="20"/>
          <w:szCs w:val="20"/>
          <w:color w:val="auto"/>
        </w:rPr>
      </w:pPr>
    </w:p>
    <w:p>
      <w:pPr>
        <w:ind w:left="420" w:hanging="314"/>
        <w:spacing w:after="0"/>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Annual Bonus Awards</w:t>
      </w:r>
    </w:p>
    <w:p>
      <w:pPr>
        <w:spacing w:after="0" w:line="125" w:lineRule="exact"/>
        <w:rPr>
          <w:rFonts w:ascii="Arial" w:cs="Arial" w:eastAsia="Arial" w:hAnsi="Arial"/>
          <w:sz w:val="19"/>
          <w:szCs w:val="19"/>
          <w:color w:val="auto"/>
        </w:rPr>
      </w:pPr>
    </w:p>
    <w:p>
      <w:pPr>
        <w:ind w:left="420" w:right="80"/>
        <w:spacing w:after="0" w:line="273" w:lineRule="auto"/>
        <w:rPr>
          <w:rFonts w:ascii="Arial" w:cs="Arial" w:eastAsia="Arial" w:hAnsi="Arial"/>
          <w:sz w:val="19"/>
          <w:szCs w:val="19"/>
          <w:color w:val="auto"/>
        </w:rPr>
      </w:pPr>
      <w:r>
        <w:rPr>
          <w:rFonts w:ascii="Arial" w:cs="Arial" w:eastAsia="Arial" w:hAnsi="Arial"/>
          <w:sz w:val="18"/>
          <w:szCs w:val="18"/>
          <w:color w:val="auto"/>
        </w:rPr>
        <w:t>Amounts shown reflect the payment levels at threshold, target, and maximum performance for the 2007 fiscal year under the Company’s Annual Bonus Plan and reflect the potential amounts that would be paid at the end of the period if the applicable performance goals were achieved. The estimated bonus payouts under the Annual Bonus Plan are based on a percentage of the executive’s base salary. For Mr. Serra, the threshold, target, and maximum amounts represent 31.25 percent, 125 percent, and 200 percent, respectively, of his annual base salary. For Messrs. McHugh, Mina, Halls, and Bahler, the threshold, target, and maximum amounts represent 18.75 percent, 75 percent, and 131.25 percent, respectively, of each executive’s annual base salary. No payments were made to the executives under the Annual Bonus Plan for 2007 because the performance goals were not achieved.</w:t>
      </w:r>
    </w:p>
    <w:p>
      <w:pPr>
        <w:spacing w:after="0" w:line="74" w:lineRule="exact"/>
        <w:rPr>
          <w:rFonts w:ascii="Arial" w:cs="Arial" w:eastAsia="Arial" w:hAnsi="Arial"/>
          <w:sz w:val="19"/>
          <w:szCs w:val="19"/>
          <w:color w:val="auto"/>
        </w:rPr>
      </w:pPr>
    </w:p>
    <w:p>
      <w:pPr>
        <w:ind w:left="420" w:hanging="314"/>
        <w:spacing w:after="0"/>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Long-Term Bonus Awards</w:t>
      </w:r>
    </w:p>
    <w:p>
      <w:pPr>
        <w:spacing w:after="0" w:line="125" w:lineRule="exact"/>
        <w:rPr>
          <w:rFonts w:ascii="Arial" w:cs="Arial" w:eastAsia="Arial" w:hAnsi="Arial"/>
          <w:sz w:val="19"/>
          <w:szCs w:val="19"/>
          <w:color w:val="auto"/>
        </w:rPr>
      </w:pPr>
    </w:p>
    <w:p>
      <w:pPr>
        <w:ind w:left="420" w:right="20"/>
        <w:spacing w:after="0" w:line="258" w:lineRule="auto"/>
        <w:rPr>
          <w:rFonts w:ascii="Arial" w:cs="Arial" w:eastAsia="Arial" w:hAnsi="Arial"/>
          <w:sz w:val="19"/>
          <w:szCs w:val="19"/>
          <w:color w:val="auto"/>
        </w:rPr>
      </w:pPr>
      <w:r>
        <w:rPr>
          <w:rFonts w:ascii="Arial" w:cs="Arial" w:eastAsia="Arial" w:hAnsi="Arial"/>
          <w:sz w:val="19"/>
          <w:szCs w:val="19"/>
          <w:color w:val="auto"/>
        </w:rPr>
        <w:t>Amounts shown reflect the estimated payment levels at threshold, target, and maximum performance for the three-year performance period of 2007-2009 under the Company’s Long-Term Bonus Plan and reflect the potential amounts that would be paid at the end of the performance period if the applicable performance goals are achieved. For each executive, the amounts shown under threshold, target, and maximum represent 22.5 percent, 90 percent, and 180 percent, respectively, of each executive’s annual base salary as of May 1 in the first year of the performance period. No amounts are paid to the executives under the Long-Term Bonus Plan unless the performance goals for the three-year performance period are achieved.</w:t>
      </w:r>
    </w:p>
    <w:p>
      <w:pPr>
        <w:spacing w:after="0" w:line="83" w:lineRule="exact"/>
        <w:rPr>
          <w:rFonts w:ascii="Arial" w:cs="Arial" w:eastAsia="Arial" w:hAnsi="Arial"/>
          <w:sz w:val="19"/>
          <w:szCs w:val="19"/>
          <w:color w:val="auto"/>
        </w:rPr>
      </w:pPr>
    </w:p>
    <w:p>
      <w:pPr>
        <w:ind w:left="420" w:hanging="314"/>
        <w:spacing w:after="0"/>
        <w:tabs>
          <w:tab w:leader="none" w:pos="420"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Restricted Stock Awards</w:t>
      </w:r>
    </w:p>
    <w:p>
      <w:pPr>
        <w:spacing w:after="0" w:line="125" w:lineRule="exact"/>
        <w:rPr>
          <w:rFonts w:ascii="Arial" w:cs="Arial" w:eastAsia="Arial" w:hAnsi="Arial"/>
          <w:sz w:val="19"/>
          <w:szCs w:val="19"/>
          <w:color w:val="auto"/>
        </w:rPr>
      </w:pPr>
    </w:p>
    <w:p>
      <w:pPr>
        <w:ind w:left="420" w:right="220"/>
        <w:spacing w:after="0" w:line="289" w:lineRule="auto"/>
        <w:rPr>
          <w:rFonts w:ascii="Arial" w:cs="Arial" w:eastAsia="Arial" w:hAnsi="Arial"/>
          <w:sz w:val="19"/>
          <w:szCs w:val="19"/>
          <w:color w:val="auto"/>
        </w:rPr>
      </w:pPr>
      <w:r>
        <w:rPr>
          <w:rFonts w:ascii="Arial" w:cs="Arial" w:eastAsia="Arial" w:hAnsi="Arial"/>
          <w:sz w:val="18"/>
          <w:szCs w:val="18"/>
          <w:color w:val="auto"/>
        </w:rPr>
        <w:t>Amounts shown in the table under column (i) represent the number of shares of restricted stock awarded to the executive on the grant date. Mr. Serra’s restricted stock was granted under the 2003 Stock Option and Award Plan, and the restricted stock awards for the other executives were granted under the 1998 Stock Option and Award Plan. The shares of restricted stock granted to Mr.</w:t>
      </w:r>
    </w:p>
    <w:p>
      <w:pPr>
        <w:sectPr>
          <w:pgSz w:w="11900" w:h="16838" w:orient="portrait"/>
          <w:cols w:equalWidth="0" w:num="1">
            <w:col w:w="11420"/>
          </w:cols>
          <w:pgMar w:left="240" w:top="120" w:right="239" w:bottom="1440" w:gutter="0" w:footer="0" w:header="0"/>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36" w:name="page37"/>
    <w:bookmarkEnd w:id="36"/>
    <w:p>
      <w:pPr>
        <w:ind w:left="420"/>
        <w:spacing w:after="0" w:line="281" w:lineRule="auto"/>
        <w:rPr>
          <w:sz w:val="20"/>
          <w:szCs w:val="20"/>
          <w:color w:val="auto"/>
        </w:rPr>
      </w:pPr>
      <w:r>
        <w:rPr>
          <w:rFonts w:ascii="Arial" w:cs="Arial" w:eastAsia="Arial" w:hAnsi="Arial"/>
          <w:sz w:val="18"/>
          <w:szCs w:val="18"/>
          <w:color w:val="auto"/>
        </w:rPr>
        <w:t>Serra in 2007 will vest on January 30, 2010 and the shares awarded on this date to the other executives will vest on March 15, 2010, provided that the executives remain employed by the Company from the date of grant through the applicable vesting dates of the awards. The executives have the right to receive all regular cash dividends payable after the date of grant to all record holders of our Common Stock. The grant date fair value of the restricted stock awards shown in column (m) includes expected dividend payments on the shares.</w:t>
      </w:r>
    </w:p>
    <w:p>
      <w:pPr>
        <w:spacing w:after="0" w:line="65" w:lineRule="exact"/>
        <w:rPr>
          <w:sz w:val="20"/>
          <w:szCs w:val="20"/>
          <w:color w:val="auto"/>
        </w:rPr>
      </w:pPr>
    </w:p>
    <w:p>
      <w:pPr>
        <w:ind w:left="420" w:hanging="314"/>
        <w:spacing w:after="0"/>
        <w:tabs>
          <w:tab w:leader="none" w:pos="420"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Stock Option Grants</w:t>
      </w:r>
    </w:p>
    <w:p>
      <w:pPr>
        <w:spacing w:after="0" w:line="125" w:lineRule="exact"/>
        <w:rPr>
          <w:rFonts w:ascii="Arial" w:cs="Arial" w:eastAsia="Arial" w:hAnsi="Arial"/>
          <w:sz w:val="19"/>
          <w:szCs w:val="19"/>
          <w:color w:val="auto"/>
        </w:rPr>
      </w:pPr>
    </w:p>
    <w:p>
      <w:pPr>
        <w:ind w:left="420" w:right="40"/>
        <w:spacing w:after="0" w:line="257" w:lineRule="auto"/>
        <w:rPr>
          <w:rFonts w:ascii="Arial" w:cs="Arial" w:eastAsia="Arial" w:hAnsi="Arial"/>
          <w:sz w:val="19"/>
          <w:szCs w:val="19"/>
          <w:color w:val="auto"/>
        </w:rPr>
      </w:pPr>
      <w:r>
        <w:rPr>
          <w:rFonts w:ascii="Arial" w:cs="Arial" w:eastAsia="Arial" w:hAnsi="Arial"/>
          <w:sz w:val="19"/>
          <w:szCs w:val="19"/>
          <w:color w:val="auto"/>
        </w:rPr>
        <w:t>The amounts in column (j) reflect the number of stock options granted in 2007 under the Company’s stock option and award plans. Mr. Serra’s stock option award was granted under the 2003 Stock Option and Award Plan, and the stock options for the other executives were granted under the 1998 Stock Option and Award Plan. The exercise price reflected in column (k) is equal to the fair market value of a share of the Company’s Common Stock on the grant date. The exercise price was calculated under the terms of the applicable option and award plans by averaging the high and low prices of a share of our Common Stock on the grant date. In general, no portion of any stock option may be exercised until the first anniversary of its date of grant. The options granted in 2007 become exercisable in three installments, beginning on the first annual anniversary of the date of grant.</w:t>
      </w:r>
    </w:p>
    <w:p>
      <w:pPr>
        <w:spacing w:after="0" w:line="77" w:lineRule="exact"/>
        <w:rPr>
          <w:rFonts w:ascii="Arial" w:cs="Arial" w:eastAsia="Arial" w:hAnsi="Arial"/>
          <w:sz w:val="19"/>
          <w:szCs w:val="19"/>
          <w:color w:val="auto"/>
        </w:rPr>
      </w:pPr>
    </w:p>
    <w:p>
      <w:pPr>
        <w:ind w:left="420"/>
        <w:spacing w:after="0" w:line="275" w:lineRule="auto"/>
        <w:rPr>
          <w:rFonts w:ascii="Arial" w:cs="Arial" w:eastAsia="Arial" w:hAnsi="Arial"/>
          <w:sz w:val="19"/>
          <w:szCs w:val="19"/>
          <w:color w:val="auto"/>
        </w:rPr>
      </w:pPr>
      <w:r>
        <w:rPr>
          <w:rFonts w:ascii="Arial" w:cs="Arial" w:eastAsia="Arial" w:hAnsi="Arial"/>
          <w:sz w:val="18"/>
          <w:szCs w:val="18"/>
          <w:color w:val="auto"/>
        </w:rPr>
        <w:t>Vested options may be exercised for ten years following the date of grant, unless the option is cancelled or exercised sooner than this. If the executive retires, becomes disabled, or dies while employed by the Company or one of its subsidiaries, all unexercised options that are then exercisable, plus those options that would have become exercisable on the next anniversary of the grant date, will remain (or become) exercisable as of that date. Moreover, upon the occurrence of a Change in Control, all outstanding options will become immediately exercisable as of that date. In general, options may remain exercisable for up to three years following a participant’s retirement or termination due to disability, and for up to one year for any other termination of employment for reasons other than cause.</w:t>
      </w:r>
    </w:p>
    <w:p>
      <w:pPr>
        <w:spacing w:after="0" w:line="76" w:lineRule="exact"/>
        <w:rPr>
          <w:rFonts w:ascii="Arial" w:cs="Arial" w:eastAsia="Arial" w:hAnsi="Arial"/>
          <w:sz w:val="19"/>
          <w:szCs w:val="19"/>
          <w:color w:val="auto"/>
        </w:rPr>
      </w:pPr>
    </w:p>
    <w:p>
      <w:pPr>
        <w:ind w:left="420" w:right="80" w:hanging="314"/>
        <w:spacing w:after="0" w:line="262" w:lineRule="auto"/>
        <w:tabs>
          <w:tab w:leader="none" w:pos="4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As stated in Note 4 above, the exercise price reflected in column (k) is equal to the fair market value of a share of the Company’s Common Stock on the grant date, and was calculated under the terms of the applicable option and award plans by averaging the high and low prices of a share of our Common Stock on the grant date. The price stated in column (l) is the closing price of a share of the Company’s stock on the date of grant.</w:t>
      </w:r>
    </w:p>
    <w:p>
      <w:pPr>
        <w:spacing w:after="0" w:line="79" w:lineRule="exact"/>
        <w:rPr>
          <w:rFonts w:ascii="Arial" w:cs="Arial" w:eastAsia="Arial" w:hAnsi="Arial"/>
          <w:sz w:val="19"/>
          <w:szCs w:val="19"/>
          <w:color w:val="auto"/>
        </w:rPr>
      </w:pPr>
    </w:p>
    <w:p>
      <w:pPr>
        <w:ind w:left="420" w:hanging="314"/>
        <w:spacing w:after="0"/>
        <w:tabs>
          <w:tab w:leader="none" w:pos="420"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Grant Date Fair Value</w:t>
      </w:r>
    </w:p>
    <w:p>
      <w:pPr>
        <w:spacing w:after="0" w:line="125" w:lineRule="exact"/>
        <w:rPr>
          <w:rFonts w:ascii="Arial" w:cs="Arial" w:eastAsia="Arial" w:hAnsi="Arial"/>
          <w:sz w:val="19"/>
          <w:szCs w:val="19"/>
          <w:color w:val="auto"/>
        </w:rPr>
      </w:pPr>
    </w:p>
    <w:p>
      <w:pPr>
        <w:ind w:left="420" w:right="60"/>
        <w:spacing w:after="0" w:line="257" w:lineRule="auto"/>
        <w:rPr>
          <w:rFonts w:ascii="Arial" w:cs="Arial" w:eastAsia="Arial" w:hAnsi="Arial"/>
          <w:sz w:val="19"/>
          <w:szCs w:val="19"/>
          <w:color w:val="auto"/>
        </w:rPr>
      </w:pPr>
      <w:r>
        <w:rPr>
          <w:rFonts w:ascii="Arial" w:cs="Arial" w:eastAsia="Arial" w:hAnsi="Arial"/>
          <w:sz w:val="19"/>
          <w:szCs w:val="19"/>
          <w:color w:val="auto"/>
        </w:rPr>
        <w:t>The amounts shown in column (m) reflect the grant date fair value of the full restricted stock and stock option awards granted in 2007, calculated in accordance with FAS 123R. As provided under the SEC’s rules, the amounts shown exclude the impact of estimated forfeitures related to service-based vesting conditions and include expected dividend payments on shares of restricted stock at the same rate as paid on our shares of Common Stock. For option awards, that number is calculated by multiplying the Black-Scholes value by the number of options granted. The Black-Scholes value for the options granted in 2007 to the named executives was $5.61. For information on the valuation assumptions with respect to the 2007 grants, please refer to Note 23 of the Company’s financial statements in our Form 10-K for the 2007 fiscal year as filed with the SEC.</w:t>
      </w:r>
    </w:p>
    <w:p>
      <w:pPr>
        <w:spacing w:after="0" w:line="77" w:lineRule="exact"/>
        <w:rPr>
          <w:rFonts w:ascii="Arial" w:cs="Arial" w:eastAsia="Arial" w:hAnsi="Arial"/>
          <w:sz w:val="19"/>
          <w:szCs w:val="19"/>
          <w:color w:val="auto"/>
        </w:rPr>
      </w:pPr>
    </w:p>
    <w:p>
      <w:pPr>
        <w:ind w:left="420" w:right="40"/>
        <w:spacing w:after="0" w:line="267" w:lineRule="auto"/>
        <w:rPr>
          <w:rFonts w:ascii="Arial" w:cs="Arial" w:eastAsia="Arial" w:hAnsi="Arial"/>
          <w:sz w:val="19"/>
          <w:szCs w:val="19"/>
          <w:color w:val="auto"/>
        </w:rPr>
      </w:pPr>
      <w:r>
        <w:rPr>
          <w:rFonts w:ascii="Arial" w:cs="Arial" w:eastAsia="Arial" w:hAnsi="Arial"/>
          <w:sz w:val="19"/>
          <w:szCs w:val="19"/>
          <w:color w:val="auto"/>
        </w:rPr>
        <w:t>For restricted stock awards, the fair value is calculated by multiplying the average of the high and low prices of our Common Stock on The New York Stock Exchange on the award date by the number of shares granted. The average of the high and low prices of our Common Stock on the date of grant was $23.42.</w:t>
      </w:r>
    </w:p>
    <w:p>
      <w:pPr>
        <w:spacing w:after="0" w:line="278"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The annual base salaries paid to our named executives in 2007 are set forth in the Summary Compensation Table. For 2007, their salaries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the following percentages of their total compensation: Mr. Serra (38.8%), Mr. McHugh (43.0%,) Mr. Mina (35.5%), Mr. Halls (36.0%), and Mr. Bahler (48.0%). Information on the named executives’ employment agreements appears beginning on Page 36.</w:t>
      </w:r>
    </w:p>
    <w:p>
      <w:pPr>
        <w:spacing w:after="0" w:line="41" w:lineRule="exact"/>
        <w:rPr>
          <w:sz w:val="20"/>
          <w:szCs w:val="20"/>
          <w:color w:val="auto"/>
        </w:rPr>
      </w:pPr>
    </w:p>
    <w:p>
      <w:pPr>
        <w:ind w:right="500" w:firstLine="357"/>
        <w:spacing w:after="0" w:line="319" w:lineRule="auto"/>
        <w:rPr>
          <w:sz w:val="20"/>
          <w:szCs w:val="20"/>
          <w:color w:val="auto"/>
        </w:rPr>
      </w:pPr>
      <w:r>
        <w:rPr>
          <w:rFonts w:ascii="Arial" w:cs="Arial" w:eastAsia="Arial" w:hAnsi="Arial"/>
          <w:sz w:val="18"/>
          <w:szCs w:val="18"/>
          <w:color w:val="auto"/>
        </w:rPr>
        <w:t xml:space="preserve">The following table, </w:t>
      </w:r>
      <w:r>
        <w:rPr>
          <w:rFonts w:ascii="Arial" w:cs="Arial" w:eastAsia="Arial" w:hAnsi="Arial"/>
          <w:sz w:val="18"/>
          <w:szCs w:val="18"/>
          <w:b w:val="1"/>
          <w:bCs w:val="1"/>
          <w:color w:val="auto"/>
        </w:rPr>
        <w:t>Outstanding Equity Awards at Fiscal Year-End</w:t>
      </w:r>
      <w:r>
        <w:rPr>
          <w:rFonts w:ascii="Arial" w:cs="Arial" w:eastAsia="Arial" w:hAnsi="Arial"/>
          <w:sz w:val="18"/>
          <w:szCs w:val="18"/>
          <w:color w:val="auto"/>
        </w:rPr>
        <w:t xml:space="preserve"> shows the number of outstanding stock options, both vested and unvested, and the number of unvested shares of restricted stock held by the named executives at the end of the 2007 fiscal year.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37" w:name="page38"/>
    <w:bookmarkEnd w:id="37"/>
    <w:p>
      <w:pPr>
        <w:spacing w:after="0" w:line="62" w:lineRule="exact"/>
        <w:rPr>
          <w:sz w:val="20"/>
          <w:szCs w:val="20"/>
          <w:color w:val="auto"/>
        </w:rPr>
      </w:pPr>
    </w:p>
    <w:p>
      <w:pPr>
        <w:ind w:left="2960"/>
        <w:spacing w:after="0"/>
        <w:rPr>
          <w:sz w:val="20"/>
          <w:szCs w:val="20"/>
          <w:color w:val="auto"/>
        </w:rPr>
      </w:pPr>
      <w:r>
        <w:rPr>
          <w:rFonts w:ascii="Arial" w:cs="Arial" w:eastAsia="Arial" w:hAnsi="Arial"/>
          <w:sz w:val="19"/>
          <w:szCs w:val="19"/>
          <w:b w:val="1"/>
          <w:bCs w:val="1"/>
          <w:color w:val="auto"/>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154305</wp:posOffset>
            </wp:positionV>
            <wp:extent cx="7198995" cy="102349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8995" cy="10234930"/>
                    </a:xfrm>
                    <a:prstGeom prst="rect">
                      <a:avLst/>
                    </a:prstGeom>
                    <a:noFill/>
                  </pic:spPr>
                </pic:pic>
              </a:graphicData>
            </a:graphic>
          </wp:anchor>
        </w:drawing>
      </w:r>
    </w:p>
    <w:p>
      <w:pPr>
        <w:sectPr>
          <w:pgSz w:w="11900" w:h="16900" w:orient="portrait"/>
          <w:cols w:equalWidth="0" w:num="1">
            <w:col w:w="10840"/>
          </w:cols>
          <w:pgMar w:left="380" w:top="120" w:right="6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4"/>
                <w:szCs w:val="14"/>
                <w:b w:val="1"/>
                <w:bCs w:val="1"/>
                <w:color w:val="auto"/>
                <w:w w:val="92"/>
              </w:rPr>
              <w:t>Option Awards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563"/>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255"/>
        </w:trPr>
        <w:tc>
          <w:tcPr>
            <w:tcW w:w="1480" w:type="dxa"/>
            <w:vAlign w:val="bottom"/>
            <w:gridSpan w:val="2"/>
          </w:tcPr>
          <w:p>
            <w:pPr>
              <w:ind w:left="560"/>
              <w:spacing w:after="0"/>
              <w:rPr>
                <w:sz w:val="20"/>
                <w:szCs w:val="20"/>
                <w:color w:val="auto"/>
              </w:rPr>
            </w:pPr>
            <w:r>
              <w:rPr>
                <w:rFonts w:ascii="Arial" w:cs="Arial" w:eastAsia="Arial" w:hAnsi="Arial"/>
                <w:sz w:val="14"/>
                <w:szCs w:val="14"/>
                <w:b w:val="1"/>
                <w:bCs w:val="1"/>
                <w:color w:val="auto"/>
              </w:rPr>
              <w:t>(a)</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22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22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24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(g)</w:t>
            </w:r>
          </w:p>
        </w:tc>
        <w:tc>
          <w:tcPr>
            <w:tcW w:w="22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(h)</w:t>
            </w:r>
          </w:p>
        </w:tc>
        <w:tc>
          <w:tcPr>
            <w:tcW w:w="2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(i)</w:t>
            </w:r>
          </w:p>
        </w:tc>
        <w:tc>
          <w:tcPr>
            <w:tcW w:w="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(j)</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220" w:type="dxa"/>
            <w:vAlign w:val="bottom"/>
          </w:tcPr>
          <w:p>
            <w:pPr>
              <w:spacing w:after="0"/>
              <w:rPr>
                <w:sz w:val="12"/>
                <w:szCs w:val="12"/>
                <w:color w:val="auto"/>
              </w:rPr>
            </w:pPr>
          </w:p>
        </w:tc>
        <w:tc>
          <w:tcPr>
            <w:tcW w:w="700" w:type="dxa"/>
            <w:vAlign w:val="bottom"/>
          </w:tcPr>
          <w:p>
            <w:pPr>
              <w:jc w:val="right"/>
              <w:ind w:right="103"/>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700" w:type="dxa"/>
            <w:vAlign w:val="bottom"/>
          </w:tcPr>
          <w:p>
            <w:pPr>
              <w:jc w:val="right"/>
              <w:ind w:right="83"/>
              <w:spacing w:after="0" w:line="149" w:lineRule="exact"/>
              <w:rPr>
                <w:sz w:val="20"/>
                <w:szCs w:val="20"/>
                <w:color w:val="auto"/>
              </w:rPr>
            </w:pPr>
            <w:r>
              <w:rPr>
                <w:rFonts w:ascii="Arial" w:cs="Arial" w:eastAsia="Arial" w:hAnsi="Arial"/>
                <w:sz w:val="14"/>
                <w:szCs w:val="14"/>
                <w:b w:val="1"/>
                <w:bCs w:val="1"/>
                <w:color w:val="auto"/>
              </w:rPr>
              <w:t>Rights</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80" w:type="dxa"/>
            <w:vAlign w:val="bottom"/>
          </w:tcPr>
          <w:p>
            <w:pPr>
              <w:spacing w:after="0"/>
              <w:rPr>
                <w:sz w:val="12"/>
                <w:szCs w:val="12"/>
                <w:color w:val="auto"/>
              </w:rPr>
            </w:pPr>
          </w:p>
        </w:tc>
        <w:tc>
          <w:tcPr>
            <w:tcW w:w="620" w:type="dxa"/>
            <w:vAlign w:val="bottom"/>
          </w:tcPr>
          <w:p>
            <w:pPr>
              <w:jc w:val="right"/>
              <w:ind w:right="83"/>
              <w:spacing w:after="0" w:line="149" w:lineRule="exact"/>
              <w:rPr>
                <w:sz w:val="20"/>
                <w:szCs w:val="20"/>
                <w:color w:val="auto"/>
              </w:rPr>
            </w:pPr>
            <w:r>
              <w:rPr>
                <w:rFonts w:ascii="Arial" w:cs="Arial" w:eastAsia="Arial" w:hAnsi="Arial"/>
                <w:sz w:val="14"/>
                <w:szCs w:val="14"/>
                <w:b w:val="1"/>
                <w:bCs w:val="1"/>
                <w:color w:val="auto"/>
              </w:rPr>
              <w:t>Have</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r>
      <w:tr>
        <w:trPr>
          <w:trHeight w:val="149"/>
        </w:trPr>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340" w:type="dxa"/>
            <w:vAlign w:val="bottom"/>
            <w:gridSpan w:val="2"/>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123"/>
              <w:spacing w:after="0" w:line="149" w:lineRule="exact"/>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20" w:type="dxa"/>
            <w:vAlign w:val="bottom"/>
          </w:tcPr>
          <w:p>
            <w:pPr>
              <w:spacing w:after="0"/>
              <w:rPr>
                <w:sz w:val="12"/>
                <w:szCs w:val="12"/>
                <w:color w:val="auto"/>
              </w:rPr>
            </w:pPr>
          </w:p>
        </w:tc>
        <w:tc>
          <w:tcPr>
            <w:tcW w:w="700" w:type="dxa"/>
            <w:vAlign w:val="bottom"/>
          </w:tcPr>
          <w:p>
            <w:pPr>
              <w:jc w:val="right"/>
              <w:ind w:right="83"/>
              <w:spacing w:after="0" w:line="149" w:lineRule="exact"/>
              <w:rPr>
                <w:sz w:val="20"/>
                <w:szCs w:val="20"/>
                <w:color w:val="auto"/>
              </w:rPr>
            </w:pPr>
            <w:r>
              <w:rPr>
                <w:rFonts w:ascii="Arial" w:cs="Arial" w:eastAsia="Arial" w:hAnsi="Arial"/>
                <w:sz w:val="14"/>
                <w:szCs w:val="14"/>
                <w:b w:val="1"/>
                <w:bCs w:val="1"/>
                <w:color w:val="auto"/>
              </w:rPr>
              <w:t>Vested</w:t>
            </w: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r>
      <w:tr>
        <w:trPr>
          <w:trHeight w:val="184"/>
        </w:trPr>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Exercisable(1)</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Unexercisable (1)</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64"/>
        </w:trPr>
        <w:tc>
          <w:tcPr>
            <w:tcW w:w="148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M. Serra</w:t>
            </w: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500,000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11.905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02/12/2011</w:t>
            </w:r>
          </w:p>
        </w:tc>
        <w:tc>
          <w:tcPr>
            <w:tcW w:w="240" w:type="dxa"/>
            <w:vAlign w:val="bottom"/>
            <w:shd w:val="clear" w:color="auto" w:fill="E5FFFF"/>
          </w:tcPr>
          <w:p>
            <w:pPr>
              <w:spacing w:after="0"/>
              <w:rPr>
                <w:sz w:val="22"/>
                <w:szCs w:val="22"/>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2"/>
                <w:szCs w:val="22"/>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2"/>
                <w:szCs w:val="22"/>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2"/>
                <w:szCs w:val="22"/>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200,000</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16.02</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04/18/2012</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100,000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16.19</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09/11/2013</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100,000</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25.365</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02/18/2014</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115,000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27.01</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02/09/2015</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33,333</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66,667</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23.92</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03/22/2016</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48,500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23.42</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03/28/2017</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3"/>
              <w:spacing w:after="0"/>
              <w:rPr>
                <w:sz w:val="20"/>
                <w:szCs w:val="20"/>
                <w:color w:val="auto"/>
              </w:rPr>
            </w:pPr>
            <w:r>
              <w:rPr>
                <w:rFonts w:ascii="Arial" w:cs="Arial" w:eastAsia="Arial" w:hAnsi="Arial"/>
                <w:sz w:val="16"/>
                <w:szCs w:val="16"/>
                <w:color w:val="auto"/>
              </w:rPr>
              <w:t>18,833</w:t>
            </w:r>
          </w:p>
        </w:tc>
        <w:tc>
          <w:tcPr>
            <w:tcW w:w="1100" w:type="dxa"/>
            <w:vAlign w:val="bottom"/>
            <w:gridSpan w:val="2"/>
          </w:tcPr>
          <w:p>
            <w:pPr>
              <w:jc w:val="right"/>
              <w:ind w:right="23"/>
              <w:spacing w:after="0"/>
              <w:rPr>
                <w:sz w:val="20"/>
                <w:szCs w:val="20"/>
                <w:color w:val="auto"/>
              </w:rPr>
            </w:pPr>
            <w:r>
              <w:rPr>
                <w:rFonts w:ascii="Arial" w:cs="Arial" w:eastAsia="Arial" w:hAnsi="Arial"/>
                <w:sz w:val="16"/>
                <w:szCs w:val="16"/>
                <w:color w:val="auto"/>
              </w:rPr>
              <w:t>262,532</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12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18,834</w:t>
            </w:r>
          </w:p>
        </w:tc>
        <w:tc>
          <w:tcPr>
            <w:tcW w:w="11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262,546</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3"/>
              <w:spacing w:after="0"/>
              <w:rPr>
                <w:sz w:val="20"/>
                <w:szCs w:val="20"/>
                <w:color w:val="auto"/>
              </w:rPr>
            </w:pPr>
            <w:r>
              <w:rPr>
                <w:rFonts w:ascii="Arial" w:cs="Arial" w:eastAsia="Arial" w:hAnsi="Arial"/>
                <w:sz w:val="16"/>
                <w:szCs w:val="16"/>
                <w:color w:val="auto"/>
              </w:rPr>
              <w:t>100,000</w:t>
            </w:r>
          </w:p>
        </w:tc>
        <w:tc>
          <w:tcPr>
            <w:tcW w:w="1100" w:type="dxa"/>
            <w:vAlign w:val="bottom"/>
            <w:gridSpan w:val="2"/>
          </w:tcPr>
          <w:p>
            <w:pPr>
              <w:jc w:val="right"/>
              <w:ind w:right="23"/>
              <w:spacing w:after="0"/>
              <w:rPr>
                <w:sz w:val="20"/>
                <w:szCs w:val="20"/>
                <w:color w:val="auto"/>
              </w:rPr>
            </w:pPr>
            <w:r>
              <w:rPr>
                <w:rFonts w:ascii="Arial" w:cs="Arial" w:eastAsia="Arial" w:hAnsi="Arial"/>
                <w:sz w:val="16"/>
                <w:szCs w:val="16"/>
                <w:color w:val="auto"/>
              </w:rPr>
              <w:t>1,394,000</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48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R. McHugh</w:t>
            </w: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10,000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25.2813</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04/08/2008</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5,000</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4.5313</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02/10/2009</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4,000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7.1875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01/03/2010</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11.3125</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04/12/2010</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12.985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04/11/2011</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16.02</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04/18/2012</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10.245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04/16/2013</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25.385</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04/01/2014</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13,333</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6,667</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28.155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03/23/2015</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21.48</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11/21/2015</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20,000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23.42</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03/28/2017</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3"/>
              <w:spacing w:after="0"/>
              <w:rPr>
                <w:sz w:val="20"/>
                <w:szCs w:val="20"/>
                <w:color w:val="auto"/>
              </w:rPr>
            </w:pPr>
            <w:r>
              <w:rPr>
                <w:rFonts w:ascii="Arial" w:cs="Arial" w:eastAsia="Arial" w:hAnsi="Arial"/>
                <w:sz w:val="16"/>
                <w:szCs w:val="16"/>
                <w:color w:val="auto"/>
              </w:rPr>
              <w:t>30,000</w:t>
            </w:r>
          </w:p>
        </w:tc>
        <w:tc>
          <w:tcPr>
            <w:tcW w:w="1100" w:type="dxa"/>
            <w:vAlign w:val="bottom"/>
            <w:gridSpan w:val="2"/>
          </w:tcPr>
          <w:p>
            <w:pPr>
              <w:jc w:val="right"/>
              <w:ind w:right="23"/>
              <w:spacing w:after="0"/>
              <w:rPr>
                <w:sz w:val="20"/>
                <w:szCs w:val="20"/>
                <w:color w:val="auto"/>
              </w:rPr>
            </w:pPr>
            <w:r>
              <w:rPr>
                <w:rFonts w:ascii="Arial" w:cs="Arial" w:eastAsia="Arial" w:hAnsi="Arial"/>
                <w:sz w:val="16"/>
                <w:szCs w:val="16"/>
                <w:color w:val="auto"/>
              </w:rPr>
              <w:t>418,200</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12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40,000</w:t>
            </w:r>
          </w:p>
        </w:tc>
        <w:tc>
          <w:tcPr>
            <w:tcW w:w="11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557,600</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148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R. Mina</w:t>
            </w: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12,000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25.2813</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04/08/2008</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21,838(4 )</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11.3125</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04/12/2010</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50,000(4 )</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12.985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04/11/2011</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50,000(4 )</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16.02</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04/18/2012</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100,000(4 )</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10.065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02/02/2013</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80,000</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25.385</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04/01/2014</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33,333</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16,667</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28.155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03/23/2015</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16,666</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33,334</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23.92</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03/22/2016</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30,000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23.42</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03/28/2017</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3"/>
              <w:spacing w:after="0"/>
              <w:rPr>
                <w:sz w:val="20"/>
                <w:szCs w:val="20"/>
                <w:color w:val="auto"/>
              </w:rPr>
            </w:pPr>
            <w:r>
              <w:rPr>
                <w:rFonts w:ascii="Arial" w:cs="Arial" w:eastAsia="Arial" w:hAnsi="Arial"/>
                <w:sz w:val="16"/>
                <w:szCs w:val="16"/>
                <w:color w:val="auto"/>
              </w:rPr>
              <w:t>40,000</w:t>
            </w:r>
          </w:p>
        </w:tc>
        <w:tc>
          <w:tcPr>
            <w:tcW w:w="1100" w:type="dxa"/>
            <w:vAlign w:val="bottom"/>
            <w:gridSpan w:val="2"/>
          </w:tcPr>
          <w:p>
            <w:pPr>
              <w:jc w:val="right"/>
              <w:ind w:right="23"/>
              <w:spacing w:after="0"/>
              <w:rPr>
                <w:sz w:val="20"/>
                <w:szCs w:val="20"/>
                <w:color w:val="auto"/>
              </w:rPr>
            </w:pPr>
            <w:r>
              <w:rPr>
                <w:rFonts w:ascii="Arial" w:cs="Arial" w:eastAsia="Arial" w:hAnsi="Arial"/>
                <w:sz w:val="16"/>
                <w:szCs w:val="16"/>
                <w:color w:val="auto"/>
              </w:rPr>
              <w:t>557,600</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12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50,000</w:t>
            </w:r>
          </w:p>
        </w:tc>
        <w:tc>
          <w:tcPr>
            <w:tcW w:w="11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697,000</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3"/>
              <w:spacing w:after="0"/>
              <w:rPr>
                <w:sz w:val="20"/>
                <w:szCs w:val="20"/>
                <w:color w:val="auto"/>
              </w:rPr>
            </w:pPr>
            <w:r>
              <w:rPr>
                <w:rFonts w:ascii="Arial" w:cs="Arial" w:eastAsia="Arial" w:hAnsi="Arial"/>
                <w:sz w:val="16"/>
                <w:szCs w:val="16"/>
                <w:color w:val="auto"/>
              </w:rPr>
              <w:t>40,000</w:t>
            </w:r>
          </w:p>
        </w:tc>
        <w:tc>
          <w:tcPr>
            <w:tcW w:w="1100" w:type="dxa"/>
            <w:vAlign w:val="bottom"/>
            <w:gridSpan w:val="2"/>
          </w:tcPr>
          <w:p>
            <w:pPr>
              <w:jc w:val="right"/>
              <w:ind w:right="23"/>
              <w:spacing w:after="0"/>
              <w:rPr>
                <w:sz w:val="20"/>
                <w:szCs w:val="20"/>
                <w:color w:val="auto"/>
              </w:rPr>
            </w:pPr>
            <w:r>
              <w:rPr>
                <w:rFonts w:ascii="Arial" w:cs="Arial" w:eastAsia="Arial" w:hAnsi="Arial"/>
                <w:sz w:val="16"/>
                <w:szCs w:val="16"/>
                <w:color w:val="auto"/>
              </w:rPr>
              <w:t>557,600</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480" w:type="dxa"/>
            <w:vAlign w:val="bottom"/>
            <w:gridSpan w:val="2"/>
            <w:shd w:val="clear" w:color="auto" w:fill="E5FFFF"/>
          </w:tcPr>
          <w:p>
            <w:pPr>
              <w:ind w:left="20"/>
              <w:spacing w:after="0"/>
              <w:rPr>
                <w:sz w:val="20"/>
                <w:szCs w:val="20"/>
                <w:color w:val="auto"/>
              </w:rPr>
            </w:pPr>
            <w:r>
              <w:rPr>
                <w:rFonts w:ascii="Arial" w:cs="Arial" w:eastAsia="Arial" w:hAnsi="Arial"/>
                <w:sz w:val="16"/>
                <w:szCs w:val="16"/>
                <w:color w:val="auto"/>
              </w:rPr>
              <w:t>R. Halls</w:t>
            </w: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10,000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16.02</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04/18/2012</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16,667</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10.065</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02/02/2013</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25.385</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04/01/2014</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28.155</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03/23/2015</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10,000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20,000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23.92</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03/22/2016</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10,000</w:t>
            </w:r>
          </w:p>
        </w:tc>
        <w:tc>
          <w:tcPr>
            <w:tcW w:w="1340" w:type="dxa"/>
            <w:vAlign w:val="bottom"/>
            <w:gridSpan w:val="2"/>
          </w:tcPr>
          <w:p>
            <w:pPr>
              <w:jc w:val="right"/>
              <w:ind w:right="44"/>
              <w:spacing w:after="0"/>
              <w:rPr>
                <w:sz w:val="20"/>
                <w:szCs w:val="20"/>
                <w:color w:val="auto"/>
              </w:rPr>
            </w:pPr>
            <w:r>
              <w:rPr>
                <w:rFonts w:ascii="Arial" w:cs="Arial" w:eastAsia="Arial" w:hAnsi="Arial"/>
                <w:sz w:val="16"/>
                <w:szCs w:val="16"/>
                <w:color w:val="auto"/>
              </w:rPr>
              <w:t>20,000</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3"/>
              <w:spacing w:after="0"/>
              <w:rPr>
                <w:sz w:val="20"/>
                <w:szCs w:val="20"/>
                <w:color w:val="auto"/>
              </w:rPr>
            </w:pPr>
            <w:r>
              <w:rPr>
                <w:rFonts w:ascii="Arial" w:cs="Arial" w:eastAsia="Arial" w:hAnsi="Arial"/>
                <w:sz w:val="16"/>
                <w:szCs w:val="16"/>
                <w:color w:val="auto"/>
              </w:rPr>
              <w:t>24.755</w:t>
            </w:r>
          </w:p>
        </w:tc>
        <w:tc>
          <w:tcPr>
            <w:tcW w:w="1180" w:type="dxa"/>
            <w:vAlign w:val="bottom"/>
            <w:gridSpan w:val="2"/>
          </w:tcPr>
          <w:p>
            <w:pPr>
              <w:jc w:val="right"/>
              <w:ind w:right="23"/>
              <w:spacing w:after="0"/>
              <w:rPr>
                <w:sz w:val="20"/>
                <w:szCs w:val="20"/>
                <w:color w:val="auto"/>
              </w:rPr>
            </w:pPr>
            <w:r>
              <w:rPr>
                <w:rFonts w:ascii="Arial" w:cs="Arial" w:eastAsia="Arial" w:hAnsi="Arial"/>
                <w:sz w:val="16"/>
                <w:szCs w:val="16"/>
                <w:color w:val="auto"/>
              </w:rPr>
              <w:t>10/12/2016</w:t>
            </w:r>
          </w:p>
        </w:tc>
        <w:tc>
          <w:tcPr>
            <w:tcW w:w="24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0</w:t>
            </w:r>
          </w:p>
        </w:tc>
        <w:tc>
          <w:tcPr>
            <w:tcW w:w="1340" w:type="dxa"/>
            <w:vAlign w:val="bottom"/>
            <w:gridSpan w:val="2"/>
            <w:shd w:val="clear" w:color="auto" w:fill="E5FFFF"/>
          </w:tcPr>
          <w:p>
            <w:pPr>
              <w:jc w:val="right"/>
              <w:ind w:right="44"/>
              <w:spacing w:after="0"/>
              <w:rPr>
                <w:sz w:val="20"/>
                <w:szCs w:val="20"/>
                <w:color w:val="auto"/>
              </w:rPr>
            </w:pPr>
            <w:r>
              <w:rPr>
                <w:rFonts w:ascii="Arial" w:cs="Arial" w:eastAsia="Arial" w:hAnsi="Arial"/>
                <w:sz w:val="16"/>
                <w:szCs w:val="16"/>
                <w:color w:val="auto"/>
              </w:rPr>
              <w:t>30,000</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23.42</w:t>
            </w:r>
          </w:p>
        </w:tc>
        <w:tc>
          <w:tcPr>
            <w:tcW w:w="118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03/28/2017</w:t>
            </w:r>
          </w:p>
        </w:tc>
        <w:tc>
          <w:tcPr>
            <w:tcW w:w="240" w:type="dxa"/>
            <w:vAlign w:val="bottom"/>
            <w:shd w:val="clear" w:color="auto" w:fill="E5FFFF"/>
          </w:tcPr>
          <w:p>
            <w:pPr>
              <w:spacing w:after="0"/>
              <w:rPr>
                <w:sz w:val="23"/>
                <w:szCs w:val="23"/>
                <w:color w:val="auto"/>
              </w:rPr>
            </w:pPr>
          </w:p>
        </w:tc>
        <w:tc>
          <w:tcPr>
            <w:tcW w:w="7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88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3"/>
              <w:spacing w:after="0"/>
              <w:rPr>
                <w:sz w:val="20"/>
                <w:szCs w:val="20"/>
                <w:color w:val="auto"/>
              </w:rPr>
            </w:pPr>
            <w:r>
              <w:rPr>
                <w:rFonts w:ascii="Arial" w:cs="Arial" w:eastAsia="Arial" w:hAnsi="Arial"/>
                <w:sz w:val="16"/>
                <w:szCs w:val="16"/>
                <w:color w:val="auto"/>
              </w:rPr>
              <w:t>20,000</w:t>
            </w:r>
          </w:p>
        </w:tc>
        <w:tc>
          <w:tcPr>
            <w:tcW w:w="1100" w:type="dxa"/>
            <w:vAlign w:val="bottom"/>
            <w:gridSpan w:val="2"/>
          </w:tcPr>
          <w:p>
            <w:pPr>
              <w:jc w:val="right"/>
              <w:ind w:right="23"/>
              <w:spacing w:after="0"/>
              <w:rPr>
                <w:sz w:val="20"/>
                <w:szCs w:val="20"/>
                <w:color w:val="auto"/>
              </w:rPr>
            </w:pPr>
            <w:r>
              <w:rPr>
                <w:rFonts w:ascii="Arial" w:cs="Arial" w:eastAsia="Arial" w:hAnsi="Arial"/>
                <w:sz w:val="16"/>
                <w:szCs w:val="16"/>
                <w:color w:val="auto"/>
              </w:rPr>
              <w:t>278,800</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74"/>
        </w:trPr>
        <w:tc>
          <w:tcPr>
            <w:tcW w:w="1280" w:type="dxa"/>
            <w:vAlign w:val="bottom"/>
            <w:shd w:val="clear" w:color="auto" w:fill="E5FFFF"/>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1000" w:type="dxa"/>
            <w:vAlign w:val="bottom"/>
            <w:shd w:val="clear" w:color="auto" w:fill="E5FFFF"/>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1120" w:type="dxa"/>
            <w:vAlign w:val="bottom"/>
            <w:shd w:val="clear" w:color="auto" w:fill="E5FFFF"/>
          </w:tcPr>
          <w:p>
            <w:pPr>
              <w:jc w:val="right"/>
              <w:ind w:right="44"/>
              <w:spacing w:after="0"/>
              <w:rPr>
                <w:sz w:val="20"/>
                <w:szCs w:val="20"/>
                <w:color w:val="auto"/>
              </w:rPr>
            </w:pPr>
            <w:r>
              <w:rPr>
                <w:rFonts w:ascii="Arial" w:cs="Arial" w:eastAsia="Arial" w:hAnsi="Arial"/>
                <w:sz w:val="16"/>
                <w:szCs w:val="16"/>
                <w:color w:val="auto"/>
              </w:rPr>
              <w:t>—</w:t>
            </w:r>
          </w:p>
        </w:tc>
        <w:tc>
          <w:tcPr>
            <w:tcW w:w="4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860" w:type="dxa"/>
            <w:vAlign w:val="bottom"/>
            <w:shd w:val="clear" w:color="auto" w:fill="E5FFFF"/>
          </w:tcPr>
          <w:p>
            <w:pPr>
              <w:jc w:val="right"/>
              <w:ind w:right="1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7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30,000</w:t>
            </w:r>
          </w:p>
        </w:tc>
        <w:tc>
          <w:tcPr>
            <w:tcW w:w="1100" w:type="dxa"/>
            <w:vAlign w:val="bottom"/>
            <w:gridSpan w:val="2"/>
            <w:shd w:val="clear" w:color="auto" w:fill="E5FFFF"/>
          </w:tcPr>
          <w:p>
            <w:pPr>
              <w:jc w:val="right"/>
              <w:ind w:right="23"/>
              <w:spacing w:after="0"/>
              <w:rPr>
                <w:sz w:val="20"/>
                <w:szCs w:val="20"/>
                <w:color w:val="auto"/>
              </w:rPr>
            </w:pPr>
            <w:r>
              <w:rPr>
                <w:rFonts w:ascii="Arial" w:cs="Arial" w:eastAsia="Arial" w:hAnsi="Arial"/>
                <w:sz w:val="16"/>
                <w:szCs w:val="16"/>
                <w:color w:val="auto"/>
              </w:rPr>
              <w:t>418,200</w:t>
            </w:r>
          </w:p>
        </w:tc>
        <w:tc>
          <w:tcPr>
            <w:tcW w:w="220" w:type="dxa"/>
            <w:vAlign w:val="bottom"/>
            <w:shd w:val="clear" w:color="auto" w:fill="E5FFFF"/>
          </w:tcPr>
          <w:p>
            <w:pPr>
              <w:spacing w:after="0"/>
              <w:rPr>
                <w:sz w:val="23"/>
                <w:szCs w:val="23"/>
                <w:color w:val="auto"/>
              </w:rPr>
            </w:pPr>
          </w:p>
        </w:tc>
        <w:tc>
          <w:tcPr>
            <w:tcW w:w="700" w:type="dxa"/>
            <w:vAlign w:val="bottom"/>
            <w:shd w:val="clear" w:color="auto" w:fill="E5FFFF"/>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shd w:val="clear" w:color="auto" w:fill="E5FFFF"/>
          </w:tcPr>
          <w:p>
            <w:pPr>
              <w:spacing w:after="0"/>
              <w:rPr>
                <w:sz w:val="23"/>
                <w:szCs w:val="23"/>
                <w:color w:val="auto"/>
              </w:rPr>
            </w:pPr>
          </w:p>
        </w:tc>
        <w:tc>
          <w:tcPr>
            <w:tcW w:w="620" w:type="dxa"/>
            <w:vAlign w:val="bottom"/>
            <w:shd w:val="clear" w:color="auto" w:fill="E5FFFF"/>
          </w:tcPr>
          <w:p>
            <w:pPr>
              <w:jc w:val="right"/>
              <w:ind w:right="83"/>
              <w:spacing w:after="0"/>
              <w:rPr>
                <w:sz w:val="20"/>
                <w:szCs w:val="20"/>
                <w:color w:val="auto"/>
              </w:rPr>
            </w:pPr>
            <w:r>
              <w:rPr>
                <w:rFonts w:ascii="Arial" w:cs="Arial" w:eastAsia="Arial" w:hAnsi="Arial"/>
                <w:sz w:val="16"/>
                <w:szCs w:val="16"/>
                <w:color w:val="auto"/>
              </w:rPr>
              <w:t>—</w:t>
            </w:r>
          </w:p>
        </w:tc>
      </w:tr>
      <w:tr>
        <w:trPr>
          <w:trHeight w:val="266"/>
        </w:trPr>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12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3"/>
              <w:spacing w:after="0"/>
              <w:rPr>
                <w:sz w:val="20"/>
                <w:szCs w:val="20"/>
                <w:color w:val="auto"/>
              </w:rPr>
            </w:pPr>
            <w:r>
              <w:rPr>
                <w:rFonts w:ascii="Arial" w:cs="Arial" w:eastAsia="Arial" w:hAnsi="Arial"/>
                <w:sz w:val="16"/>
                <w:szCs w:val="16"/>
                <w:color w:val="auto"/>
              </w:rPr>
              <w:t>20,000</w:t>
            </w:r>
          </w:p>
        </w:tc>
        <w:tc>
          <w:tcPr>
            <w:tcW w:w="1100" w:type="dxa"/>
            <w:vAlign w:val="bottom"/>
            <w:gridSpan w:val="2"/>
          </w:tcPr>
          <w:p>
            <w:pPr>
              <w:jc w:val="right"/>
              <w:ind w:right="23"/>
              <w:spacing w:after="0"/>
              <w:rPr>
                <w:sz w:val="20"/>
                <w:szCs w:val="20"/>
                <w:color w:val="auto"/>
              </w:rPr>
            </w:pPr>
            <w:r>
              <w:rPr>
                <w:rFonts w:ascii="Arial" w:cs="Arial" w:eastAsia="Arial" w:hAnsi="Arial"/>
                <w:sz w:val="16"/>
                <w:szCs w:val="16"/>
                <w:color w:val="auto"/>
              </w:rPr>
              <w:t>278,800</w:t>
            </w:r>
          </w:p>
        </w:tc>
        <w:tc>
          <w:tcPr>
            <w:tcW w:w="220" w:type="dxa"/>
            <w:vAlign w:val="bottom"/>
          </w:tcPr>
          <w:p>
            <w:pPr>
              <w:spacing w:after="0"/>
              <w:rPr>
                <w:sz w:val="23"/>
                <w:szCs w:val="23"/>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155"/>
        </w:trPr>
        <w:tc>
          <w:tcPr>
            <w:tcW w:w="1280" w:type="dxa"/>
            <w:vAlign w:val="bottom"/>
            <w:shd w:val="clear" w:color="auto" w:fill="E5FFFF"/>
          </w:tcPr>
          <w:p>
            <w:pPr>
              <w:spacing w:after="0"/>
              <w:rPr>
                <w:sz w:val="13"/>
                <w:szCs w:val="13"/>
                <w:color w:val="auto"/>
              </w:rPr>
            </w:pPr>
          </w:p>
        </w:tc>
        <w:tc>
          <w:tcPr>
            <w:tcW w:w="200" w:type="dxa"/>
            <w:vAlign w:val="bottom"/>
            <w:shd w:val="clear" w:color="auto" w:fill="E5FFFF"/>
          </w:tcPr>
          <w:p>
            <w:pPr>
              <w:spacing w:after="0"/>
              <w:rPr>
                <w:sz w:val="13"/>
                <w:szCs w:val="13"/>
                <w:color w:val="auto"/>
              </w:rPr>
            </w:pPr>
          </w:p>
        </w:tc>
        <w:tc>
          <w:tcPr>
            <w:tcW w:w="100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120" w:type="dxa"/>
            <w:vAlign w:val="bottom"/>
            <w:shd w:val="clear" w:color="auto" w:fill="E5FFFF"/>
          </w:tcPr>
          <w:p>
            <w:pPr>
              <w:spacing w:after="0"/>
              <w:rPr>
                <w:sz w:val="13"/>
                <w:szCs w:val="13"/>
                <w:color w:val="auto"/>
              </w:rPr>
            </w:pPr>
          </w:p>
        </w:tc>
        <w:tc>
          <w:tcPr>
            <w:tcW w:w="4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86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76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96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78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88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70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c>
          <w:tcPr>
            <w:tcW w:w="620" w:type="dxa"/>
            <w:vAlign w:val="bottom"/>
            <w:shd w:val="clear" w:color="auto" w:fill="E5FFFF"/>
          </w:tcPr>
          <w:p>
            <w:pPr>
              <w:spacing w:after="0"/>
              <w:rPr>
                <w:sz w:val="13"/>
                <w:szCs w:val="13"/>
                <w:color w:val="auto"/>
              </w:rPr>
            </w:pPr>
          </w:p>
        </w:tc>
      </w:tr>
    </w:tbl>
    <w:p>
      <w:pPr>
        <w:sectPr>
          <w:pgSz w:w="11900" w:h="16900" w:orient="portrait"/>
          <w:cols w:equalWidth="0" w:num="1">
            <w:col w:w="10840"/>
          </w:cols>
          <w:pgMar w:left="380" w:top="120" w:right="679" w:bottom="0" w:gutter="0" w:footer="0" w:header="0"/>
          <w:type w:val="continuous"/>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198995" cy="1863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8995" cy="18630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7"/>
        </w:trPr>
        <w:tc>
          <w:tcPr>
            <w:tcW w:w="1260" w:type="dxa"/>
            <w:vAlign w:val="bottom"/>
            <w:tcBorders>
              <w:bottom w:val="single" w:sz="8" w:color="E5FFFF"/>
            </w:tcBorders>
            <w:shd w:val="clear" w:color="auto" w:fill="E5FFFF"/>
          </w:tcPr>
          <w:p>
            <w:pPr>
              <w:ind w:left="20"/>
              <w:spacing w:after="0"/>
              <w:rPr>
                <w:sz w:val="20"/>
                <w:szCs w:val="20"/>
                <w:color w:val="auto"/>
              </w:rPr>
            </w:pPr>
            <w:r>
              <w:rPr>
                <w:rFonts w:ascii="Arial" w:cs="Arial" w:eastAsia="Arial" w:hAnsi="Arial"/>
                <w:sz w:val="16"/>
                <w:szCs w:val="16"/>
                <w:color w:val="auto"/>
              </w:rPr>
              <w:t>G. Bahler</w:t>
            </w:r>
          </w:p>
        </w:tc>
        <w:tc>
          <w:tcPr>
            <w:tcW w:w="1540" w:type="dxa"/>
            <w:vAlign w:val="bottom"/>
            <w:tcBorders>
              <w:bottom w:val="single" w:sz="8" w:color="E5FFFF"/>
            </w:tcBorders>
            <w:shd w:val="clear" w:color="auto" w:fill="E5FFFF"/>
          </w:tcPr>
          <w:p>
            <w:pPr>
              <w:jc w:val="right"/>
              <w:ind w:right="381"/>
              <w:spacing w:after="0"/>
              <w:rPr>
                <w:sz w:val="20"/>
                <w:szCs w:val="20"/>
                <w:color w:val="auto"/>
              </w:rPr>
            </w:pPr>
            <w:r>
              <w:rPr>
                <w:rFonts w:ascii="Arial" w:cs="Arial" w:eastAsia="Arial" w:hAnsi="Arial"/>
                <w:sz w:val="16"/>
                <w:szCs w:val="16"/>
                <w:color w:val="auto"/>
              </w:rPr>
              <w:t>25,000</w:t>
            </w:r>
          </w:p>
        </w:tc>
        <w:tc>
          <w:tcPr>
            <w:tcW w:w="1340" w:type="dxa"/>
            <w:vAlign w:val="bottom"/>
            <w:tcBorders>
              <w:bottom w:val="single" w:sz="8" w:color="E5FFFF"/>
            </w:tcBorders>
            <w:shd w:val="clear" w:color="auto" w:fill="E5FFFF"/>
          </w:tcPr>
          <w:p>
            <w:pPr>
              <w:jc w:val="right"/>
              <w:ind w:right="361"/>
              <w:spacing w:after="0"/>
              <w:rPr>
                <w:sz w:val="20"/>
                <w:szCs w:val="20"/>
                <w:color w:val="auto"/>
              </w:rPr>
            </w:pPr>
            <w:r>
              <w:rPr>
                <w:rFonts w:ascii="Arial" w:cs="Arial" w:eastAsia="Arial" w:hAnsi="Arial"/>
                <w:sz w:val="16"/>
                <w:szCs w:val="16"/>
                <w:color w:val="auto"/>
              </w:rPr>
              <w:t>0</w:t>
            </w:r>
          </w:p>
        </w:tc>
        <w:tc>
          <w:tcPr>
            <w:tcW w:w="880" w:type="dxa"/>
            <w:vAlign w:val="bottom"/>
            <w:tcBorders>
              <w:bottom w:val="single" w:sz="8" w:color="E5FFFF"/>
            </w:tcBorders>
            <w:shd w:val="clear" w:color="auto" w:fill="E5FFFF"/>
          </w:tcPr>
          <w:p>
            <w:pPr>
              <w:ind w:left="4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5FFFF"/>
            </w:tcBorders>
            <w:shd w:val="clear" w:color="auto" w:fill="E5FFFF"/>
          </w:tcPr>
          <w:p>
            <w:pPr>
              <w:jc w:val="right"/>
              <w:ind w:right="161"/>
              <w:spacing w:after="0"/>
              <w:rPr>
                <w:sz w:val="20"/>
                <w:szCs w:val="20"/>
                <w:color w:val="auto"/>
              </w:rPr>
            </w:pPr>
            <w:r>
              <w:rPr>
                <w:rFonts w:ascii="Arial" w:cs="Arial" w:eastAsia="Arial" w:hAnsi="Arial"/>
                <w:sz w:val="16"/>
                <w:szCs w:val="16"/>
                <w:color w:val="auto"/>
              </w:rPr>
              <w:t>25.2813</w:t>
            </w:r>
          </w:p>
        </w:tc>
        <w:tc>
          <w:tcPr>
            <w:tcW w:w="1240" w:type="dxa"/>
            <w:vAlign w:val="bottom"/>
            <w:tcBorders>
              <w:bottom w:val="single" w:sz="8" w:color="E5FFFF"/>
            </w:tcBorders>
            <w:shd w:val="clear" w:color="auto" w:fill="E5FFFF"/>
          </w:tcPr>
          <w:p>
            <w:pPr>
              <w:jc w:val="right"/>
              <w:ind w:right="221"/>
              <w:spacing w:after="0"/>
              <w:rPr>
                <w:sz w:val="20"/>
                <w:szCs w:val="20"/>
                <w:color w:val="auto"/>
              </w:rPr>
            </w:pPr>
            <w:r>
              <w:rPr>
                <w:rFonts w:ascii="Arial" w:cs="Arial" w:eastAsia="Arial" w:hAnsi="Arial"/>
                <w:sz w:val="16"/>
                <w:szCs w:val="16"/>
                <w:color w:val="auto"/>
              </w:rPr>
              <w:t>04/08/2008</w:t>
            </w:r>
          </w:p>
        </w:tc>
        <w:tc>
          <w:tcPr>
            <w:tcW w:w="1020" w:type="dxa"/>
            <w:vAlign w:val="bottom"/>
            <w:tcBorders>
              <w:bottom w:val="single" w:sz="8" w:color="E5FFFF"/>
            </w:tcBorders>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5FFFF"/>
            </w:tcBorders>
            <w:shd w:val="clear" w:color="auto" w:fill="E5FFFF"/>
          </w:tcPr>
          <w:p>
            <w:pPr>
              <w:jc w:val="right"/>
              <w:ind w:right="26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5FFFF"/>
            </w:tcBorders>
            <w:shd w:val="clear" w:color="auto" w:fill="E5FFFF"/>
          </w:tcPr>
          <w:p>
            <w:pPr>
              <w:ind w:left="3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5FFFF"/>
            </w:tcBorders>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66"/>
        </w:trPr>
        <w:tc>
          <w:tcPr>
            <w:tcW w:w="1260" w:type="dxa"/>
            <w:vAlign w:val="bottom"/>
          </w:tcPr>
          <w:p>
            <w:pPr>
              <w:spacing w:after="0"/>
              <w:rPr>
                <w:sz w:val="23"/>
                <w:szCs w:val="23"/>
                <w:color w:val="auto"/>
              </w:rPr>
            </w:pPr>
          </w:p>
        </w:tc>
        <w:tc>
          <w:tcPr>
            <w:tcW w:w="1540" w:type="dxa"/>
            <w:vAlign w:val="bottom"/>
          </w:tcPr>
          <w:p>
            <w:pPr>
              <w:jc w:val="right"/>
              <w:ind w:right="381"/>
              <w:spacing w:after="0"/>
              <w:rPr>
                <w:sz w:val="20"/>
                <w:szCs w:val="20"/>
                <w:color w:val="auto"/>
              </w:rPr>
            </w:pPr>
            <w:r>
              <w:rPr>
                <w:rFonts w:ascii="Arial" w:cs="Arial" w:eastAsia="Arial" w:hAnsi="Arial"/>
                <w:sz w:val="16"/>
                <w:szCs w:val="16"/>
                <w:color w:val="auto"/>
              </w:rPr>
              <w:t>20,002</w:t>
            </w:r>
          </w:p>
        </w:tc>
        <w:tc>
          <w:tcPr>
            <w:tcW w:w="1340" w:type="dxa"/>
            <w:vAlign w:val="bottom"/>
          </w:tcPr>
          <w:p>
            <w:pPr>
              <w:jc w:val="right"/>
              <w:ind w:right="361"/>
              <w:spacing w:after="0"/>
              <w:rPr>
                <w:sz w:val="20"/>
                <w:szCs w:val="20"/>
                <w:color w:val="auto"/>
              </w:rPr>
            </w:pPr>
            <w:r>
              <w:rPr>
                <w:rFonts w:ascii="Arial" w:cs="Arial" w:eastAsia="Arial" w:hAnsi="Arial"/>
                <w:sz w:val="16"/>
                <w:szCs w:val="16"/>
                <w:color w:val="auto"/>
              </w:rPr>
              <w:t>0</w:t>
            </w:r>
          </w:p>
        </w:tc>
        <w:tc>
          <w:tcPr>
            <w:tcW w:w="880" w:type="dxa"/>
            <w:vAlign w:val="bottom"/>
          </w:tcPr>
          <w:p>
            <w:pPr>
              <w:ind w:left="4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1"/>
              <w:spacing w:after="0"/>
              <w:rPr>
                <w:sz w:val="20"/>
                <w:szCs w:val="20"/>
                <w:color w:val="auto"/>
              </w:rPr>
            </w:pPr>
            <w:r>
              <w:rPr>
                <w:rFonts w:ascii="Arial" w:cs="Arial" w:eastAsia="Arial" w:hAnsi="Arial"/>
                <w:sz w:val="16"/>
                <w:szCs w:val="16"/>
                <w:color w:val="auto"/>
              </w:rPr>
              <w:t>11.3125</w:t>
            </w:r>
          </w:p>
        </w:tc>
        <w:tc>
          <w:tcPr>
            <w:tcW w:w="1240" w:type="dxa"/>
            <w:vAlign w:val="bottom"/>
          </w:tcPr>
          <w:p>
            <w:pPr>
              <w:jc w:val="right"/>
              <w:ind w:right="221"/>
              <w:spacing w:after="0"/>
              <w:rPr>
                <w:sz w:val="20"/>
                <w:szCs w:val="20"/>
                <w:color w:val="auto"/>
              </w:rPr>
            </w:pPr>
            <w:r>
              <w:rPr>
                <w:rFonts w:ascii="Arial" w:cs="Arial" w:eastAsia="Arial" w:hAnsi="Arial"/>
                <w:sz w:val="16"/>
                <w:szCs w:val="16"/>
                <w:color w:val="auto"/>
              </w:rPr>
              <w:t>04/12/2010</w:t>
            </w:r>
          </w:p>
        </w:tc>
        <w:tc>
          <w:tcPr>
            <w:tcW w:w="10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780" w:type="dxa"/>
            <w:vAlign w:val="bottom"/>
          </w:tcPr>
          <w:p>
            <w:pPr>
              <w:ind w:left="340"/>
              <w:spacing w:after="0"/>
              <w:rPr>
                <w:sz w:val="20"/>
                <w:szCs w:val="20"/>
                <w:color w:val="auto"/>
              </w:rPr>
            </w:pPr>
            <w:r>
              <w:rPr>
                <w:rFonts w:ascii="Arial" w:cs="Arial" w:eastAsia="Arial" w:hAnsi="Arial"/>
                <w:sz w:val="16"/>
                <w:szCs w:val="16"/>
                <w:color w:val="auto"/>
              </w:rPr>
              <w:t>—</w:t>
            </w:r>
          </w:p>
        </w:tc>
        <w:tc>
          <w:tcPr>
            <w:tcW w:w="60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74"/>
        </w:trPr>
        <w:tc>
          <w:tcPr>
            <w:tcW w:w="1260" w:type="dxa"/>
            <w:vAlign w:val="bottom"/>
            <w:shd w:val="clear" w:color="auto" w:fill="E5FFFF"/>
          </w:tcPr>
          <w:p>
            <w:pPr>
              <w:spacing w:after="0"/>
              <w:rPr>
                <w:sz w:val="23"/>
                <w:szCs w:val="23"/>
                <w:color w:val="auto"/>
              </w:rPr>
            </w:pPr>
          </w:p>
        </w:tc>
        <w:tc>
          <w:tcPr>
            <w:tcW w:w="1540" w:type="dxa"/>
            <w:vAlign w:val="bottom"/>
            <w:shd w:val="clear" w:color="auto" w:fill="E5FFFF"/>
          </w:tcPr>
          <w:p>
            <w:pPr>
              <w:jc w:val="right"/>
              <w:ind w:right="381"/>
              <w:spacing w:after="0"/>
              <w:rPr>
                <w:sz w:val="20"/>
                <w:szCs w:val="20"/>
                <w:color w:val="auto"/>
              </w:rPr>
            </w:pPr>
            <w:r>
              <w:rPr>
                <w:rFonts w:ascii="Arial" w:cs="Arial" w:eastAsia="Arial" w:hAnsi="Arial"/>
                <w:sz w:val="16"/>
                <w:szCs w:val="16"/>
                <w:color w:val="auto"/>
              </w:rPr>
              <w:t>47,500</w:t>
            </w:r>
          </w:p>
        </w:tc>
        <w:tc>
          <w:tcPr>
            <w:tcW w:w="1340" w:type="dxa"/>
            <w:vAlign w:val="bottom"/>
            <w:shd w:val="clear" w:color="auto" w:fill="E5FFFF"/>
          </w:tcPr>
          <w:p>
            <w:pPr>
              <w:jc w:val="right"/>
              <w:ind w:right="361"/>
              <w:spacing w:after="0"/>
              <w:rPr>
                <w:sz w:val="20"/>
                <w:szCs w:val="20"/>
                <w:color w:val="auto"/>
              </w:rPr>
            </w:pPr>
            <w:r>
              <w:rPr>
                <w:rFonts w:ascii="Arial" w:cs="Arial" w:eastAsia="Arial" w:hAnsi="Arial"/>
                <w:sz w:val="16"/>
                <w:szCs w:val="16"/>
                <w:color w:val="auto"/>
              </w:rPr>
              <w:t>0</w:t>
            </w:r>
          </w:p>
        </w:tc>
        <w:tc>
          <w:tcPr>
            <w:tcW w:w="880" w:type="dxa"/>
            <w:vAlign w:val="bottom"/>
            <w:shd w:val="clear" w:color="auto" w:fill="E5FFFF"/>
          </w:tcPr>
          <w:p>
            <w:pPr>
              <w:ind w:left="4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12.985</w:t>
            </w:r>
          </w:p>
        </w:tc>
        <w:tc>
          <w:tcPr>
            <w:tcW w:w="124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04/11/2011</w:t>
            </w:r>
          </w:p>
        </w:tc>
        <w:tc>
          <w:tcPr>
            <w:tcW w:w="102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w:t>
            </w:r>
          </w:p>
        </w:tc>
        <w:tc>
          <w:tcPr>
            <w:tcW w:w="780" w:type="dxa"/>
            <w:vAlign w:val="bottom"/>
            <w:shd w:val="clear" w:color="auto" w:fill="E5FFFF"/>
          </w:tcPr>
          <w:p>
            <w:pPr>
              <w:ind w:left="34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66"/>
        </w:trPr>
        <w:tc>
          <w:tcPr>
            <w:tcW w:w="1260" w:type="dxa"/>
            <w:vAlign w:val="bottom"/>
          </w:tcPr>
          <w:p>
            <w:pPr>
              <w:spacing w:after="0"/>
              <w:rPr>
                <w:sz w:val="23"/>
                <w:szCs w:val="23"/>
                <w:color w:val="auto"/>
              </w:rPr>
            </w:pPr>
          </w:p>
        </w:tc>
        <w:tc>
          <w:tcPr>
            <w:tcW w:w="1540" w:type="dxa"/>
            <w:vAlign w:val="bottom"/>
          </w:tcPr>
          <w:p>
            <w:pPr>
              <w:jc w:val="right"/>
              <w:ind w:right="381"/>
              <w:spacing w:after="0"/>
              <w:rPr>
                <w:sz w:val="20"/>
                <w:szCs w:val="20"/>
                <w:color w:val="auto"/>
              </w:rPr>
            </w:pPr>
            <w:r>
              <w:rPr>
                <w:rFonts w:ascii="Arial" w:cs="Arial" w:eastAsia="Arial" w:hAnsi="Arial"/>
                <w:sz w:val="16"/>
                <w:szCs w:val="16"/>
                <w:color w:val="auto"/>
              </w:rPr>
              <w:t>47,500</w:t>
            </w:r>
          </w:p>
        </w:tc>
        <w:tc>
          <w:tcPr>
            <w:tcW w:w="1340" w:type="dxa"/>
            <w:vAlign w:val="bottom"/>
          </w:tcPr>
          <w:p>
            <w:pPr>
              <w:jc w:val="right"/>
              <w:ind w:right="361"/>
              <w:spacing w:after="0"/>
              <w:rPr>
                <w:sz w:val="20"/>
                <w:szCs w:val="20"/>
                <w:color w:val="auto"/>
              </w:rPr>
            </w:pPr>
            <w:r>
              <w:rPr>
                <w:rFonts w:ascii="Arial" w:cs="Arial" w:eastAsia="Arial" w:hAnsi="Arial"/>
                <w:sz w:val="16"/>
                <w:szCs w:val="16"/>
                <w:color w:val="auto"/>
              </w:rPr>
              <w:t>0</w:t>
            </w:r>
          </w:p>
        </w:tc>
        <w:tc>
          <w:tcPr>
            <w:tcW w:w="880" w:type="dxa"/>
            <w:vAlign w:val="bottom"/>
          </w:tcPr>
          <w:p>
            <w:pPr>
              <w:ind w:left="4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1"/>
              <w:spacing w:after="0"/>
              <w:rPr>
                <w:sz w:val="20"/>
                <w:szCs w:val="20"/>
                <w:color w:val="auto"/>
              </w:rPr>
            </w:pPr>
            <w:r>
              <w:rPr>
                <w:rFonts w:ascii="Arial" w:cs="Arial" w:eastAsia="Arial" w:hAnsi="Arial"/>
                <w:sz w:val="16"/>
                <w:szCs w:val="16"/>
                <w:color w:val="auto"/>
              </w:rPr>
              <w:t>16.02</w:t>
            </w:r>
          </w:p>
        </w:tc>
        <w:tc>
          <w:tcPr>
            <w:tcW w:w="1240" w:type="dxa"/>
            <w:vAlign w:val="bottom"/>
          </w:tcPr>
          <w:p>
            <w:pPr>
              <w:jc w:val="right"/>
              <w:ind w:right="221"/>
              <w:spacing w:after="0"/>
              <w:rPr>
                <w:sz w:val="20"/>
                <w:szCs w:val="20"/>
                <w:color w:val="auto"/>
              </w:rPr>
            </w:pPr>
            <w:r>
              <w:rPr>
                <w:rFonts w:ascii="Arial" w:cs="Arial" w:eastAsia="Arial" w:hAnsi="Arial"/>
                <w:sz w:val="16"/>
                <w:szCs w:val="16"/>
                <w:color w:val="auto"/>
              </w:rPr>
              <w:t>04/18/2012</w:t>
            </w:r>
          </w:p>
        </w:tc>
        <w:tc>
          <w:tcPr>
            <w:tcW w:w="10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780" w:type="dxa"/>
            <w:vAlign w:val="bottom"/>
          </w:tcPr>
          <w:p>
            <w:pPr>
              <w:ind w:left="340"/>
              <w:spacing w:after="0"/>
              <w:rPr>
                <w:sz w:val="20"/>
                <w:szCs w:val="20"/>
                <w:color w:val="auto"/>
              </w:rPr>
            </w:pPr>
            <w:r>
              <w:rPr>
                <w:rFonts w:ascii="Arial" w:cs="Arial" w:eastAsia="Arial" w:hAnsi="Arial"/>
                <w:sz w:val="16"/>
                <w:szCs w:val="16"/>
                <w:color w:val="auto"/>
              </w:rPr>
              <w:t>—</w:t>
            </w:r>
          </w:p>
        </w:tc>
        <w:tc>
          <w:tcPr>
            <w:tcW w:w="60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74"/>
        </w:trPr>
        <w:tc>
          <w:tcPr>
            <w:tcW w:w="1260" w:type="dxa"/>
            <w:vAlign w:val="bottom"/>
            <w:shd w:val="clear" w:color="auto" w:fill="E5FFFF"/>
          </w:tcPr>
          <w:p>
            <w:pPr>
              <w:spacing w:after="0"/>
              <w:rPr>
                <w:sz w:val="23"/>
                <w:szCs w:val="23"/>
                <w:color w:val="auto"/>
              </w:rPr>
            </w:pPr>
          </w:p>
        </w:tc>
        <w:tc>
          <w:tcPr>
            <w:tcW w:w="1540" w:type="dxa"/>
            <w:vAlign w:val="bottom"/>
            <w:shd w:val="clear" w:color="auto" w:fill="E5FFFF"/>
          </w:tcPr>
          <w:p>
            <w:pPr>
              <w:jc w:val="right"/>
              <w:ind w:right="381"/>
              <w:spacing w:after="0"/>
              <w:rPr>
                <w:sz w:val="20"/>
                <w:szCs w:val="20"/>
                <w:color w:val="auto"/>
              </w:rPr>
            </w:pPr>
            <w:r>
              <w:rPr>
                <w:rFonts w:ascii="Arial" w:cs="Arial" w:eastAsia="Arial" w:hAnsi="Arial"/>
                <w:sz w:val="16"/>
                <w:szCs w:val="16"/>
                <w:color w:val="auto"/>
              </w:rPr>
              <w:t>33,000</w:t>
            </w:r>
          </w:p>
        </w:tc>
        <w:tc>
          <w:tcPr>
            <w:tcW w:w="1340" w:type="dxa"/>
            <w:vAlign w:val="bottom"/>
            <w:shd w:val="clear" w:color="auto" w:fill="E5FFFF"/>
          </w:tcPr>
          <w:p>
            <w:pPr>
              <w:jc w:val="right"/>
              <w:ind w:right="361"/>
              <w:spacing w:after="0"/>
              <w:rPr>
                <w:sz w:val="20"/>
                <w:szCs w:val="20"/>
                <w:color w:val="auto"/>
              </w:rPr>
            </w:pPr>
            <w:r>
              <w:rPr>
                <w:rFonts w:ascii="Arial" w:cs="Arial" w:eastAsia="Arial" w:hAnsi="Arial"/>
                <w:sz w:val="16"/>
                <w:szCs w:val="16"/>
                <w:color w:val="auto"/>
              </w:rPr>
              <w:t>0</w:t>
            </w:r>
          </w:p>
        </w:tc>
        <w:tc>
          <w:tcPr>
            <w:tcW w:w="880" w:type="dxa"/>
            <w:vAlign w:val="bottom"/>
            <w:shd w:val="clear" w:color="auto" w:fill="E5FFFF"/>
          </w:tcPr>
          <w:p>
            <w:pPr>
              <w:ind w:left="4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10.245</w:t>
            </w:r>
          </w:p>
        </w:tc>
        <w:tc>
          <w:tcPr>
            <w:tcW w:w="124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04/16/2013</w:t>
            </w:r>
          </w:p>
        </w:tc>
        <w:tc>
          <w:tcPr>
            <w:tcW w:w="102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w:t>
            </w:r>
          </w:p>
        </w:tc>
        <w:tc>
          <w:tcPr>
            <w:tcW w:w="780" w:type="dxa"/>
            <w:vAlign w:val="bottom"/>
            <w:shd w:val="clear" w:color="auto" w:fill="E5FFFF"/>
          </w:tcPr>
          <w:p>
            <w:pPr>
              <w:ind w:left="34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66"/>
        </w:trPr>
        <w:tc>
          <w:tcPr>
            <w:tcW w:w="1260" w:type="dxa"/>
            <w:vAlign w:val="bottom"/>
          </w:tcPr>
          <w:p>
            <w:pPr>
              <w:spacing w:after="0"/>
              <w:rPr>
                <w:sz w:val="23"/>
                <w:szCs w:val="23"/>
                <w:color w:val="auto"/>
              </w:rPr>
            </w:pPr>
          </w:p>
        </w:tc>
        <w:tc>
          <w:tcPr>
            <w:tcW w:w="1540" w:type="dxa"/>
            <w:vAlign w:val="bottom"/>
          </w:tcPr>
          <w:p>
            <w:pPr>
              <w:jc w:val="right"/>
              <w:ind w:right="381"/>
              <w:spacing w:after="0"/>
              <w:rPr>
                <w:sz w:val="20"/>
                <w:szCs w:val="20"/>
                <w:color w:val="auto"/>
              </w:rPr>
            </w:pPr>
            <w:r>
              <w:rPr>
                <w:rFonts w:ascii="Arial" w:cs="Arial" w:eastAsia="Arial" w:hAnsi="Arial"/>
                <w:sz w:val="16"/>
                <w:szCs w:val="16"/>
                <w:color w:val="auto"/>
              </w:rPr>
              <w:t>32,000</w:t>
            </w:r>
          </w:p>
        </w:tc>
        <w:tc>
          <w:tcPr>
            <w:tcW w:w="1340" w:type="dxa"/>
            <w:vAlign w:val="bottom"/>
          </w:tcPr>
          <w:p>
            <w:pPr>
              <w:jc w:val="right"/>
              <w:ind w:right="361"/>
              <w:spacing w:after="0"/>
              <w:rPr>
                <w:sz w:val="20"/>
                <w:szCs w:val="20"/>
                <w:color w:val="auto"/>
              </w:rPr>
            </w:pPr>
            <w:r>
              <w:rPr>
                <w:rFonts w:ascii="Arial" w:cs="Arial" w:eastAsia="Arial" w:hAnsi="Arial"/>
                <w:sz w:val="16"/>
                <w:szCs w:val="16"/>
                <w:color w:val="auto"/>
              </w:rPr>
              <w:t>0</w:t>
            </w:r>
          </w:p>
        </w:tc>
        <w:tc>
          <w:tcPr>
            <w:tcW w:w="880" w:type="dxa"/>
            <w:vAlign w:val="bottom"/>
          </w:tcPr>
          <w:p>
            <w:pPr>
              <w:ind w:left="4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1"/>
              <w:spacing w:after="0"/>
              <w:rPr>
                <w:sz w:val="20"/>
                <w:szCs w:val="20"/>
                <w:color w:val="auto"/>
              </w:rPr>
            </w:pPr>
            <w:r>
              <w:rPr>
                <w:rFonts w:ascii="Arial" w:cs="Arial" w:eastAsia="Arial" w:hAnsi="Arial"/>
                <w:sz w:val="16"/>
                <w:szCs w:val="16"/>
                <w:color w:val="auto"/>
              </w:rPr>
              <w:t>25.385</w:t>
            </w:r>
          </w:p>
        </w:tc>
        <w:tc>
          <w:tcPr>
            <w:tcW w:w="1240" w:type="dxa"/>
            <w:vAlign w:val="bottom"/>
          </w:tcPr>
          <w:p>
            <w:pPr>
              <w:jc w:val="right"/>
              <w:ind w:right="221"/>
              <w:spacing w:after="0"/>
              <w:rPr>
                <w:sz w:val="20"/>
                <w:szCs w:val="20"/>
                <w:color w:val="auto"/>
              </w:rPr>
            </w:pPr>
            <w:r>
              <w:rPr>
                <w:rFonts w:ascii="Arial" w:cs="Arial" w:eastAsia="Arial" w:hAnsi="Arial"/>
                <w:sz w:val="16"/>
                <w:szCs w:val="16"/>
                <w:color w:val="auto"/>
              </w:rPr>
              <w:t>04/01/2014</w:t>
            </w:r>
          </w:p>
        </w:tc>
        <w:tc>
          <w:tcPr>
            <w:tcW w:w="10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780" w:type="dxa"/>
            <w:vAlign w:val="bottom"/>
          </w:tcPr>
          <w:p>
            <w:pPr>
              <w:ind w:left="340"/>
              <w:spacing w:after="0"/>
              <w:rPr>
                <w:sz w:val="20"/>
                <w:szCs w:val="20"/>
                <w:color w:val="auto"/>
              </w:rPr>
            </w:pPr>
            <w:r>
              <w:rPr>
                <w:rFonts w:ascii="Arial" w:cs="Arial" w:eastAsia="Arial" w:hAnsi="Arial"/>
                <w:sz w:val="16"/>
                <w:szCs w:val="16"/>
                <w:color w:val="auto"/>
              </w:rPr>
              <w:t>—</w:t>
            </w:r>
          </w:p>
        </w:tc>
        <w:tc>
          <w:tcPr>
            <w:tcW w:w="60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74"/>
        </w:trPr>
        <w:tc>
          <w:tcPr>
            <w:tcW w:w="1260" w:type="dxa"/>
            <w:vAlign w:val="bottom"/>
            <w:shd w:val="clear" w:color="auto" w:fill="E5FFFF"/>
          </w:tcPr>
          <w:p>
            <w:pPr>
              <w:spacing w:after="0"/>
              <w:rPr>
                <w:sz w:val="23"/>
                <w:szCs w:val="23"/>
                <w:color w:val="auto"/>
              </w:rPr>
            </w:pPr>
          </w:p>
        </w:tc>
        <w:tc>
          <w:tcPr>
            <w:tcW w:w="1540" w:type="dxa"/>
            <w:vAlign w:val="bottom"/>
            <w:shd w:val="clear" w:color="auto" w:fill="E5FFFF"/>
          </w:tcPr>
          <w:p>
            <w:pPr>
              <w:jc w:val="right"/>
              <w:ind w:right="381"/>
              <w:spacing w:after="0"/>
              <w:rPr>
                <w:sz w:val="20"/>
                <w:szCs w:val="20"/>
                <w:color w:val="auto"/>
              </w:rPr>
            </w:pPr>
            <w:r>
              <w:rPr>
                <w:rFonts w:ascii="Arial" w:cs="Arial" w:eastAsia="Arial" w:hAnsi="Arial"/>
                <w:sz w:val="16"/>
                <w:szCs w:val="16"/>
                <w:color w:val="auto"/>
              </w:rPr>
              <w:t>16,666</w:t>
            </w:r>
          </w:p>
        </w:tc>
        <w:tc>
          <w:tcPr>
            <w:tcW w:w="1340" w:type="dxa"/>
            <w:vAlign w:val="bottom"/>
            <w:shd w:val="clear" w:color="auto" w:fill="E5FFFF"/>
          </w:tcPr>
          <w:p>
            <w:pPr>
              <w:jc w:val="right"/>
              <w:ind w:right="361"/>
              <w:spacing w:after="0"/>
              <w:rPr>
                <w:sz w:val="20"/>
                <w:szCs w:val="20"/>
                <w:color w:val="auto"/>
              </w:rPr>
            </w:pPr>
            <w:r>
              <w:rPr>
                <w:rFonts w:ascii="Arial" w:cs="Arial" w:eastAsia="Arial" w:hAnsi="Arial"/>
                <w:sz w:val="16"/>
                <w:szCs w:val="16"/>
                <w:color w:val="auto"/>
              </w:rPr>
              <w:t>8,334</w:t>
            </w:r>
          </w:p>
        </w:tc>
        <w:tc>
          <w:tcPr>
            <w:tcW w:w="880" w:type="dxa"/>
            <w:vAlign w:val="bottom"/>
            <w:shd w:val="clear" w:color="auto" w:fill="E5FFFF"/>
          </w:tcPr>
          <w:p>
            <w:pPr>
              <w:ind w:left="4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28.155</w:t>
            </w:r>
          </w:p>
        </w:tc>
        <w:tc>
          <w:tcPr>
            <w:tcW w:w="124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03/23/2015</w:t>
            </w:r>
          </w:p>
        </w:tc>
        <w:tc>
          <w:tcPr>
            <w:tcW w:w="102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w:t>
            </w:r>
          </w:p>
        </w:tc>
        <w:tc>
          <w:tcPr>
            <w:tcW w:w="780" w:type="dxa"/>
            <w:vAlign w:val="bottom"/>
            <w:shd w:val="clear" w:color="auto" w:fill="E5FFFF"/>
          </w:tcPr>
          <w:p>
            <w:pPr>
              <w:ind w:left="34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66"/>
        </w:trPr>
        <w:tc>
          <w:tcPr>
            <w:tcW w:w="1260" w:type="dxa"/>
            <w:vAlign w:val="bottom"/>
          </w:tcPr>
          <w:p>
            <w:pPr>
              <w:spacing w:after="0"/>
              <w:rPr>
                <w:sz w:val="23"/>
                <w:szCs w:val="23"/>
                <w:color w:val="auto"/>
              </w:rPr>
            </w:pPr>
          </w:p>
        </w:tc>
        <w:tc>
          <w:tcPr>
            <w:tcW w:w="1540" w:type="dxa"/>
            <w:vAlign w:val="bottom"/>
          </w:tcPr>
          <w:p>
            <w:pPr>
              <w:jc w:val="right"/>
              <w:ind w:right="381"/>
              <w:spacing w:after="0"/>
              <w:rPr>
                <w:sz w:val="20"/>
                <w:szCs w:val="20"/>
                <w:color w:val="auto"/>
              </w:rPr>
            </w:pPr>
            <w:r>
              <w:rPr>
                <w:rFonts w:ascii="Arial" w:cs="Arial" w:eastAsia="Arial" w:hAnsi="Arial"/>
                <w:sz w:val="16"/>
                <w:szCs w:val="16"/>
                <w:color w:val="auto"/>
              </w:rPr>
              <w:t>8,333</w:t>
            </w:r>
          </w:p>
        </w:tc>
        <w:tc>
          <w:tcPr>
            <w:tcW w:w="1340" w:type="dxa"/>
            <w:vAlign w:val="bottom"/>
          </w:tcPr>
          <w:p>
            <w:pPr>
              <w:jc w:val="right"/>
              <w:ind w:right="361"/>
              <w:spacing w:after="0"/>
              <w:rPr>
                <w:sz w:val="20"/>
                <w:szCs w:val="20"/>
                <w:color w:val="auto"/>
              </w:rPr>
            </w:pPr>
            <w:r>
              <w:rPr>
                <w:rFonts w:ascii="Arial" w:cs="Arial" w:eastAsia="Arial" w:hAnsi="Arial"/>
                <w:sz w:val="16"/>
                <w:szCs w:val="16"/>
                <w:color w:val="auto"/>
              </w:rPr>
              <w:t>16,667</w:t>
            </w:r>
          </w:p>
        </w:tc>
        <w:tc>
          <w:tcPr>
            <w:tcW w:w="880" w:type="dxa"/>
            <w:vAlign w:val="bottom"/>
          </w:tcPr>
          <w:p>
            <w:pPr>
              <w:ind w:left="4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1"/>
              <w:spacing w:after="0"/>
              <w:rPr>
                <w:sz w:val="20"/>
                <w:szCs w:val="20"/>
                <w:color w:val="auto"/>
              </w:rPr>
            </w:pPr>
            <w:r>
              <w:rPr>
                <w:rFonts w:ascii="Arial" w:cs="Arial" w:eastAsia="Arial" w:hAnsi="Arial"/>
                <w:sz w:val="16"/>
                <w:szCs w:val="16"/>
                <w:color w:val="auto"/>
              </w:rPr>
              <w:t>23.92</w:t>
            </w:r>
          </w:p>
        </w:tc>
        <w:tc>
          <w:tcPr>
            <w:tcW w:w="1240" w:type="dxa"/>
            <w:vAlign w:val="bottom"/>
          </w:tcPr>
          <w:p>
            <w:pPr>
              <w:jc w:val="right"/>
              <w:ind w:right="221"/>
              <w:spacing w:after="0"/>
              <w:rPr>
                <w:sz w:val="20"/>
                <w:szCs w:val="20"/>
                <w:color w:val="auto"/>
              </w:rPr>
            </w:pPr>
            <w:r>
              <w:rPr>
                <w:rFonts w:ascii="Arial" w:cs="Arial" w:eastAsia="Arial" w:hAnsi="Arial"/>
                <w:sz w:val="16"/>
                <w:szCs w:val="16"/>
                <w:color w:val="auto"/>
              </w:rPr>
              <w:t>03/22/2016</w:t>
            </w:r>
          </w:p>
        </w:tc>
        <w:tc>
          <w:tcPr>
            <w:tcW w:w="10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780" w:type="dxa"/>
            <w:vAlign w:val="bottom"/>
          </w:tcPr>
          <w:p>
            <w:pPr>
              <w:ind w:left="340"/>
              <w:spacing w:after="0"/>
              <w:rPr>
                <w:sz w:val="20"/>
                <w:szCs w:val="20"/>
                <w:color w:val="auto"/>
              </w:rPr>
            </w:pPr>
            <w:r>
              <w:rPr>
                <w:rFonts w:ascii="Arial" w:cs="Arial" w:eastAsia="Arial" w:hAnsi="Arial"/>
                <w:sz w:val="16"/>
                <w:szCs w:val="16"/>
                <w:color w:val="auto"/>
              </w:rPr>
              <w:t>—</w:t>
            </w:r>
          </w:p>
        </w:tc>
        <w:tc>
          <w:tcPr>
            <w:tcW w:w="600" w:type="dxa"/>
            <w:vAlign w:val="bottom"/>
          </w:tcPr>
          <w:p>
            <w:pPr>
              <w:ind w:left="280"/>
              <w:spacing w:after="0"/>
              <w:rPr>
                <w:sz w:val="20"/>
                <w:szCs w:val="20"/>
                <w:color w:val="auto"/>
              </w:rPr>
            </w:pPr>
            <w:r>
              <w:rPr>
                <w:rFonts w:ascii="Arial" w:cs="Arial" w:eastAsia="Arial" w:hAnsi="Arial"/>
                <w:sz w:val="16"/>
                <w:szCs w:val="16"/>
                <w:color w:val="auto"/>
              </w:rPr>
              <w:t>—</w:t>
            </w:r>
          </w:p>
        </w:tc>
      </w:tr>
      <w:tr>
        <w:trPr>
          <w:trHeight w:val="274"/>
        </w:trPr>
        <w:tc>
          <w:tcPr>
            <w:tcW w:w="1260" w:type="dxa"/>
            <w:vAlign w:val="bottom"/>
            <w:shd w:val="clear" w:color="auto" w:fill="E5FFFF"/>
          </w:tcPr>
          <w:p>
            <w:pPr>
              <w:spacing w:after="0"/>
              <w:rPr>
                <w:sz w:val="23"/>
                <w:szCs w:val="23"/>
                <w:color w:val="auto"/>
              </w:rPr>
            </w:pPr>
          </w:p>
        </w:tc>
        <w:tc>
          <w:tcPr>
            <w:tcW w:w="1540" w:type="dxa"/>
            <w:vAlign w:val="bottom"/>
            <w:shd w:val="clear" w:color="auto" w:fill="E5FFFF"/>
          </w:tcPr>
          <w:p>
            <w:pPr>
              <w:jc w:val="right"/>
              <w:ind w:right="381"/>
              <w:spacing w:after="0"/>
              <w:rPr>
                <w:sz w:val="20"/>
                <w:szCs w:val="20"/>
                <w:color w:val="auto"/>
              </w:rPr>
            </w:pPr>
            <w:r>
              <w:rPr>
                <w:rFonts w:ascii="Arial" w:cs="Arial" w:eastAsia="Arial" w:hAnsi="Arial"/>
                <w:sz w:val="16"/>
                <w:szCs w:val="16"/>
                <w:color w:val="auto"/>
              </w:rPr>
              <w:t>0</w:t>
            </w:r>
          </w:p>
        </w:tc>
        <w:tc>
          <w:tcPr>
            <w:tcW w:w="1340" w:type="dxa"/>
            <w:vAlign w:val="bottom"/>
            <w:shd w:val="clear" w:color="auto" w:fill="E5FFFF"/>
          </w:tcPr>
          <w:p>
            <w:pPr>
              <w:jc w:val="right"/>
              <w:ind w:right="361"/>
              <w:spacing w:after="0"/>
              <w:rPr>
                <w:sz w:val="20"/>
                <w:szCs w:val="20"/>
                <w:color w:val="auto"/>
              </w:rPr>
            </w:pPr>
            <w:r>
              <w:rPr>
                <w:rFonts w:ascii="Arial" w:cs="Arial" w:eastAsia="Arial" w:hAnsi="Arial"/>
                <w:sz w:val="16"/>
                <w:szCs w:val="16"/>
                <w:color w:val="auto"/>
              </w:rPr>
              <w:t>20,000</w:t>
            </w:r>
          </w:p>
        </w:tc>
        <w:tc>
          <w:tcPr>
            <w:tcW w:w="880" w:type="dxa"/>
            <w:vAlign w:val="bottom"/>
            <w:shd w:val="clear" w:color="auto" w:fill="E5FFFF"/>
          </w:tcPr>
          <w:p>
            <w:pPr>
              <w:ind w:left="4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FFFF"/>
          </w:tcPr>
          <w:p>
            <w:pPr>
              <w:jc w:val="right"/>
              <w:ind w:right="161"/>
              <w:spacing w:after="0"/>
              <w:rPr>
                <w:sz w:val="20"/>
                <w:szCs w:val="20"/>
                <w:color w:val="auto"/>
              </w:rPr>
            </w:pPr>
            <w:r>
              <w:rPr>
                <w:rFonts w:ascii="Arial" w:cs="Arial" w:eastAsia="Arial" w:hAnsi="Arial"/>
                <w:sz w:val="16"/>
                <w:szCs w:val="16"/>
                <w:color w:val="auto"/>
              </w:rPr>
              <w:t>23.42</w:t>
            </w:r>
          </w:p>
        </w:tc>
        <w:tc>
          <w:tcPr>
            <w:tcW w:w="124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03/28/2017</w:t>
            </w:r>
          </w:p>
        </w:tc>
        <w:tc>
          <w:tcPr>
            <w:tcW w:w="1020" w:type="dxa"/>
            <w:vAlign w:val="bottom"/>
            <w:shd w:val="clear" w:color="auto" w:fill="E5FFFF"/>
          </w:tcPr>
          <w:p>
            <w:pPr>
              <w:jc w:val="right"/>
              <w:ind w:right="2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FFFF"/>
          </w:tcPr>
          <w:p>
            <w:pPr>
              <w:jc w:val="right"/>
              <w:ind w:right="261"/>
              <w:spacing w:after="0"/>
              <w:rPr>
                <w:sz w:val="20"/>
                <w:szCs w:val="20"/>
                <w:color w:val="auto"/>
              </w:rPr>
            </w:pPr>
            <w:r>
              <w:rPr>
                <w:rFonts w:ascii="Arial" w:cs="Arial" w:eastAsia="Arial" w:hAnsi="Arial"/>
                <w:sz w:val="16"/>
                <w:szCs w:val="16"/>
                <w:color w:val="auto"/>
              </w:rPr>
              <w:t>—</w:t>
            </w:r>
          </w:p>
        </w:tc>
        <w:tc>
          <w:tcPr>
            <w:tcW w:w="780" w:type="dxa"/>
            <w:vAlign w:val="bottom"/>
            <w:shd w:val="clear" w:color="auto" w:fill="E5FFFF"/>
          </w:tcPr>
          <w:p>
            <w:pPr>
              <w:ind w:left="34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ind w:left="280"/>
              <w:spacing w:after="0"/>
              <w:rPr>
                <w:sz w:val="20"/>
                <w:szCs w:val="20"/>
                <w:color w:val="auto"/>
              </w:rPr>
            </w:pPr>
            <w:r>
              <w:rPr>
                <w:rFonts w:ascii="Arial" w:cs="Arial" w:eastAsia="Arial" w:hAnsi="Arial"/>
                <w:sz w:val="16"/>
                <w:szCs w:val="16"/>
                <w:color w:val="auto"/>
              </w:rPr>
              <w:t>—</w:t>
            </w:r>
          </w:p>
        </w:tc>
      </w:tr>
      <w:tr>
        <w:trPr>
          <w:trHeight w:val="262"/>
        </w:trPr>
        <w:tc>
          <w:tcPr>
            <w:tcW w:w="1260" w:type="dxa"/>
            <w:vAlign w:val="bottom"/>
          </w:tcPr>
          <w:p>
            <w:pPr>
              <w:spacing w:after="0"/>
              <w:rPr>
                <w:sz w:val="22"/>
                <w:szCs w:val="22"/>
                <w:color w:val="auto"/>
              </w:rPr>
            </w:pPr>
          </w:p>
        </w:tc>
        <w:tc>
          <w:tcPr>
            <w:tcW w:w="154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880" w:type="dxa"/>
            <w:vAlign w:val="bottom"/>
          </w:tcPr>
          <w:p>
            <w:pPr>
              <w:ind w:left="4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1"/>
              <w:spacing w:after="0"/>
              <w:rPr>
                <w:sz w:val="20"/>
                <w:szCs w:val="20"/>
                <w:color w:val="auto"/>
              </w:rPr>
            </w:pPr>
            <w:r>
              <w:rPr>
                <w:rFonts w:ascii="Arial" w:cs="Arial" w:eastAsia="Arial" w:hAnsi="Arial"/>
                <w:sz w:val="16"/>
                <w:szCs w:val="16"/>
                <w:color w:val="auto"/>
              </w:rPr>
              <w:t>40,000</w:t>
            </w:r>
          </w:p>
        </w:tc>
        <w:tc>
          <w:tcPr>
            <w:tcW w:w="1140" w:type="dxa"/>
            <w:vAlign w:val="bottom"/>
          </w:tcPr>
          <w:p>
            <w:pPr>
              <w:jc w:val="right"/>
              <w:ind w:right="261"/>
              <w:spacing w:after="0"/>
              <w:rPr>
                <w:sz w:val="20"/>
                <w:szCs w:val="20"/>
                <w:color w:val="auto"/>
              </w:rPr>
            </w:pPr>
            <w:r>
              <w:rPr>
                <w:rFonts w:ascii="Arial" w:cs="Arial" w:eastAsia="Arial" w:hAnsi="Arial"/>
                <w:sz w:val="16"/>
                <w:szCs w:val="16"/>
                <w:color w:val="auto"/>
              </w:rPr>
              <w:t>557,600</w:t>
            </w:r>
          </w:p>
        </w:tc>
        <w:tc>
          <w:tcPr>
            <w:tcW w:w="780" w:type="dxa"/>
            <w:vAlign w:val="bottom"/>
          </w:tcPr>
          <w:p>
            <w:pPr>
              <w:ind w:left="340"/>
              <w:spacing w:after="0"/>
              <w:rPr>
                <w:sz w:val="20"/>
                <w:szCs w:val="20"/>
                <w:color w:val="auto"/>
              </w:rPr>
            </w:pPr>
            <w:r>
              <w:rPr>
                <w:rFonts w:ascii="Arial" w:cs="Arial" w:eastAsia="Arial" w:hAnsi="Arial"/>
                <w:sz w:val="16"/>
                <w:szCs w:val="16"/>
                <w:color w:val="auto"/>
              </w:rPr>
              <w:t>—</w:t>
            </w:r>
          </w:p>
        </w:tc>
        <w:tc>
          <w:tcPr>
            <w:tcW w:w="600" w:type="dxa"/>
            <w:vAlign w:val="bottom"/>
          </w:tcPr>
          <w:p>
            <w:pPr>
              <w:ind w:left="28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150495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380" w:top="140" w:right="679" w:bottom="1440" w:gutter="0" w:footer="0" w:header="0"/>
        </w:sectPr>
      </w:pPr>
    </w:p>
    <w:bookmarkStart w:id="39" w:name="page40"/>
    <w:bookmarkEnd w:id="39"/>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Outstanding Equity Awards at Fiscal Year End</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9"/>
          <w:szCs w:val="19"/>
          <w:color w:val="auto"/>
        </w:rPr>
        <w:t xml:space="preserve">(1) The </w:t>
      </w:r>
      <w:r>
        <w:rPr>
          <w:rFonts w:ascii="Arial" w:cs="Arial" w:eastAsia="Arial" w:hAnsi="Arial"/>
          <w:sz w:val="19"/>
          <w:szCs w:val="19"/>
          <w:b w:val="1"/>
          <w:bCs w:val="1"/>
          <w:color w:val="auto"/>
        </w:rPr>
        <w:t>Vesting Schedules</w:t>
      </w:r>
      <w:r>
        <w:rPr>
          <w:rFonts w:ascii="Arial" w:cs="Arial" w:eastAsia="Arial" w:hAnsi="Arial"/>
          <w:sz w:val="19"/>
          <w:szCs w:val="19"/>
          <w:color w:val="auto"/>
        </w:rPr>
        <w:t xml:space="preserve"> for the options shown in columns (b) and (c) are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643"/>
        </w:trPr>
        <w:tc>
          <w:tcPr>
            <w:tcW w:w="140" w:type="dxa"/>
            <w:vAlign w:val="bottom"/>
            <w:tcBorders>
              <w:top w:val="single" w:sz="8" w:color="auto"/>
              <w:left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40" w:type="dxa"/>
            <w:vAlign w:val="bottom"/>
            <w:tcBorders>
              <w:top w:val="single" w:sz="8" w:color="auto"/>
              <w:right w:val="single" w:sz="8" w:color="auto"/>
            </w:tcBorders>
          </w:tcPr>
          <w:p>
            <w:pPr>
              <w:spacing w:after="0"/>
              <w:rPr>
                <w:sz w:val="24"/>
                <w:szCs w:val="24"/>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2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Underlying</w:t>
            </w: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Vesting Date for 1/3</w:t>
            </w:r>
          </w:p>
        </w:tc>
        <w:tc>
          <w:tcPr>
            <w:tcW w:w="280" w:type="dxa"/>
            <w:vAlign w:val="bottom"/>
          </w:tcPr>
          <w:p>
            <w:pPr>
              <w:spacing w:after="0"/>
              <w:rPr>
                <w:sz w:val="12"/>
                <w:szCs w:val="12"/>
                <w:color w:val="auto"/>
              </w:rPr>
            </w:pPr>
          </w:p>
        </w:tc>
        <w:tc>
          <w:tcPr>
            <w:tcW w:w="1560" w:type="dxa"/>
            <w:vAlign w:val="bottom"/>
          </w:tcPr>
          <w:p>
            <w:pPr>
              <w:jc w:val="right"/>
              <w:ind w:right="109"/>
              <w:spacing w:after="0" w:line="149" w:lineRule="exact"/>
              <w:rPr>
                <w:sz w:val="20"/>
                <w:szCs w:val="20"/>
                <w:color w:val="auto"/>
              </w:rPr>
            </w:pPr>
            <w:r>
              <w:rPr>
                <w:rFonts w:ascii="Arial" w:cs="Arial" w:eastAsia="Arial" w:hAnsi="Arial"/>
                <w:sz w:val="14"/>
                <w:szCs w:val="14"/>
                <w:b w:val="1"/>
                <w:bCs w:val="1"/>
                <w:color w:val="auto"/>
              </w:rPr>
              <w:t>Vesting Date for 1/3</w:t>
            </w:r>
          </w:p>
        </w:tc>
        <w:tc>
          <w:tcPr>
            <w:tcW w:w="300" w:type="dxa"/>
            <w:vAlign w:val="bottom"/>
          </w:tcPr>
          <w:p>
            <w:pPr>
              <w:spacing w:after="0"/>
              <w:rPr>
                <w:sz w:val="12"/>
                <w:szCs w:val="12"/>
                <w:color w:val="auto"/>
              </w:rPr>
            </w:pPr>
          </w:p>
        </w:tc>
        <w:tc>
          <w:tcPr>
            <w:tcW w:w="1580" w:type="dxa"/>
            <w:vAlign w:val="bottom"/>
          </w:tcPr>
          <w:p>
            <w:pPr>
              <w:jc w:val="right"/>
              <w:ind w:right="129"/>
              <w:spacing w:after="0" w:line="149" w:lineRule="exact"/>
              <w:rPr>
                <w:sz w:val="20"/>
                <w:szCs w:val="20"/>
                <w:color w:val="auto"/>
              </w:rPr>
            </w:pPr>
            <w:r>
              <w:rPr>
                <w:rFonts w:ascii="Arial" w:cs="Arial" w:eastAsia="Arial" w:hAnsi="Arial"/>
                <w:sz w:val="14"/>
                <w:szCs w:val="14"/>
                <w:b w:val="1"/>
                <w:bCs w:val="1"/>
                <w:color w:val="auto"/>
              </w:rPr>
              <w:t>Vesting Date for 1/3</w:t>
            </w:r>
          </w:p>
        </w:tc>
        <w:tc>
          <w:tcPr>
            <w:tcW w:w="240" w:type="dxa"/>
            <w:vAlign w:val="bottom"/>
            <w:tcBorders>
              <w:right w:val="single" w:sz="8" w:color="auto"/>
            </w:tcBorders>
          </w:tcPr>
          <w:p>
            <w:pPr>
              <w:spacing w:after="0"/>
              <w:rPr>
                <w:sz w:val="12"/>
                <w:szCs w:val="12"/>
                <w:color w:val="auto"/>
              </w:rPr>
            </w:pPr>
          </w:p>
        </w:tc>
      </w:tr>
      <w:tr>
        <w:trPr>
          <w:trHeight w:val="184"/>
        </w:trPr>
        <w:tc>
          <w:tcPr>
            <w:tcW w:w="140" w:type="dxa"/>
            <w:vAlign w:val="bottom"/>
            <w:tcBorders>
              <w:left w:val="single" w:sz="8" w:color="auto"/>
            </w:tcBorders>
          </w:tcPr>
          <w:p>
            <w:pPr>
              <w:spacing w:after="0"/>
              <w:rPr>
                <w:sz w:val="15"/>
                <w:szCs w:val="15"/>
                <w:color w:val="auto"/>
              </w:rPr>
            </w:pPr>
          </w:p>
        </w:tc>
        <w:tc>
          <w:tcPr>
            <w:tcW w:w="218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Unexercised Options</w:t>
            </w: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Date of Grant</w:t>
            </w:r>
          </w:p>
        </w:tc>
        <w:tc>
          <w:tcPr>
            <w:tcW w:w="280" w:type="dxa"/>
            <w:vAlign w:val="bottom"/>
          </w:tcPr>
          <w:p>
            <w:pPr>
              <w:spacing w:after="0"/>
              <w:rPr>
                <w:sz w:val="15"/>
                <w:szCs w:val="15"/>
                <w:color w:val="auto"/>
              </w:rPr>
            </w:pPr>
          </w:p>
        </w:tc>
        <w:tc>
          <w:tcPr>
            <w:tcW w:w="15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of Total Grant</w:t>
            </w:r>
          </w:p>
        </w:tc>
        <w:tc>
          <w:tcPr>
            <w:tcW w:w="280" w:type="dxa"/>
            <w:vAlign w:val="bottom"/>
          </w:tcPr>
          <w:p>
            <w:pPr>
              <w:spacing w:after="0"/>
              <w:rPr>
                <w:sz w:val="15"/>
                <w:szCs w:val="15"/>
                <w:color w:val="auto"/>
              </w:rPr>
            </w:pPr>
          </w:p>
        </w:tc>
        <w:tc>
          <w:tcPr>
            <w:tcW w:w="15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of Total Grant</w:t>
            </w:r>
          </w:p>
        </w:tc>
        <w:tc>
          <w:tcPr>
            <w:tcW w:w="300" w:type="dxa"/>
            <w:vAlign w:val="bottom"/>
          </w:tcPr>
          <w:p>
            <w:pPr>
              <w:spacing w:after="0"/>
              <w:rPr>
                <w:sz w:val="15"/>
                <w:szCs w:val="15"/>
                <w:color w:val="auto"/>
              </w:rPr>
            </w:pPr>
          </w:p>
        </w:tc>
        <w:tc>
          <w:tcPr>
            <w:tcW w:w="15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of Total Grant</w:t>
            </w:r>
          </w:p>
        </w:tc>
        <w:tc>
          <w:tcPr>
            <w:tcW w:w="240" w:type="dxa"/>
            <w:vAlign w:val="bottom"/>
            <w:tcBorders>
              <w:right w:val="single" w:sz="8" w:color="auto"/>
            </w:tcBorders>
          </w:tcPr>
          <w:p>
            <w:pPr>
              <w:spacing w:after="0"/>
              <w:rPr>
                <w:sz w:val="15"/>
                <w:szCs w:val="15"/>
                <w:color w:val="auto"/>
              </w:rPr>
            </w:pPr>
          </w:p>
        </w:tc>
      </w:tr>
      <w:tr>
        <w:trPr>
          <w:trHeight w:val="264"/>
        </w:trPr>
        <w:tc>
          <w:tcPr>
            <w:tcW w:w="140" w:type="dxa"/>
            <w:vAlign w:val="bottom"/>
            <w:tcBorders>
              <w:left w:val="single" w:sz="8" w:color="auto"/>
            </w:tcBorders>
          </w:tcPr>
          <w:p>
            <w:pPr>
              <w:spacing w:after="0"/>
              <w:rPr>
                <w:sz w:val="22"/>
                <w:szCs w:val="22"/>
                <w:color w:val="auto"/>
              </w:rPr>
            </w:pPr>
          </w:p>
        </w:tc>
        <w:tc>
          <w:tcPr>
            <w:tcW w:w="2180" w:type="dxa"/>
            <w:vAlign w:val="bottom"/>
            <w:shd w:val="clear" w:color="auto" w:fill="E5FFFF"/>
          </w:tcPr>
          <w:p>
            <w:pPr>
              <w:ind w:left="20"/>
              <w:spacing w:after="0"/>
              <w:rPr>
                <w:sz w:val="20"/>
                <w:szCs w:val="20"/>
                <w:color w:val="auto"/>
              </w:rPr>
            </w:pPr>
            <w:r>
              <w:rPr>
                <w:rFonts w:ascii="Arial" w:cs="Arial" w:eastAsia="Arial" w:hAnsi="Arial"/>
                <w:sz w:val="16"/>
                <w:szCs w:val="16"/>
                <w:color w:val="auto"/>
              </w:rPr>
              <w:t>M. Serra</w:t>
            </w: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500,000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02/12/2001</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02/12/2002</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02/12/2003</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02/12/2004</w:t>
            </w:r>
          </w:p>
        </w:tc>
        <w:tc>
          <w:tcPr>
            <w:tcW w:w="240" w:type="dxa"/>
            <w:vAlign w:val="bottom"/>
            <w:tcBorders>
              <w:right w:val="single" w:sz="8" w:color="auto"/>
            </w:tcBorders>
          </w:tcPr>
          <w:p>
            <w:pPr>
              <w:spacing w:after="0"/>
              <w:rPr>
                <w:sz w:val="22"/>
                <w:szCs w:val="22"/>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200,000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04/18/2002</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04/18/2003</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04/18/2004</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04/18/2005</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100,000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09/11/2003</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09/11/2004</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09/11/2005</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09/11/2006</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100,000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02/18/2004</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02/18/2005</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02/18/2006</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02/18/2007</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115,000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02/09/2005</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02/09/2006</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02/09/2007</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02/01/2008</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100,000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03/22/2006</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03/22/2007</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03/22/2008</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03/22/2009</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48,500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03/28/2007</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03/28/2008</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03/28/2009</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01/30/2010</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ind w:left="20"/>
              <w:spacing w:after="0"/>
              <w:rPr>
                <w:sz w:val="20"/>
                <w:szCs w:val="20"/>
                <w:color w:val="auto"/>
              </w:rPr>
            </w:pPr>
            <w:r>
              <w:rPr>
                <w:rFonts w:ascii="Arial" w:cs="Arial" w:eastAsia="Arial" w:hAnsi="Arial"/>
                <w:sz w:val="16"/>
                <w:szCs w:val="16"/>
                <w:color w:val="auto"/>
              </w:rPr>
              <w:t>R. McHugh</w:t>
            </w: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10,000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04/08/1998</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04/08/1999</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04/08/2000</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04/08/2001</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5,000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02/10/1999</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02/10/2000</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02/10/2001</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02/10/2002</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4,000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01/03/2000</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01/03/2001</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01/03/2002</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01/03/2003</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04/12/2000</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04/12/2001</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04/12/2002</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04/12/2003</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04/11/2001</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04/11/2002</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04/11/2003</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04/11/2004</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04/18/2002</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04/18/2003</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04/18/2004</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04/18/2005</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04/16/2003</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04/16/2004</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04/16/2005</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04/16/2006</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04/01/2004</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04/01/2005</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04/01/2006</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04/01/2007</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03/23/2005</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03/23/2006</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03/23/2007</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03/23/2008</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30,000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11/21/2005</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11/21/2006</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11/21/2007</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11/21/2008</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03/28/2007</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03/28/2008</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03/28/2009</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03/28/2010</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ind w:left="20"/>
              <w:spacing w:after="0"/>
              <w:rPr>
                <w:sz w:val="20"/>
                <w:szCs w:val="20"/>
                <w:color w:val="auto"/>
              </w:rPr>
            </w:pPr>
            <w:r>
              <w:rPr>
                <w:rFonts w:ascii="Arial" w:cs="Arial" w:eastAsia="Arial" w:hAnsi="Arial"/>
                <w:sz w:val="16"/>
                <w:szCs w:val="16"/>
                <w:color w:val="auto"/>
              </w:rPr>
              <w:t>R. Mina</w:t>
            </w: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12,000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04/08/1998</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04/08/1999</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04/08/2000</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04/08/2001</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21,838</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04/12/2000</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04/12/2001</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04/12/2002</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04/12/2003</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50,000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04/11/2001</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04/11/2002</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04/11/2003</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04/11/2004</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50,000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04/18/2002</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04/18/2003</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04/18/2004</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04/18/2005</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100,000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02/02/2003</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02/02/2004</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02/02/2005</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02/02/2006</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80,000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04/01/2004</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04/01/2005</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04/01/2006</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04/01/2007</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50,000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03/23/2005</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03/23/2006</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03/23/2007</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03/23/2008</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50,000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03/22/2006</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03/22/2007</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03/22/2008</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03/22/2009</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30,000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03/28/2007</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03/28/2008</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03/28/2009</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03/28/2010</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ind w:left="20"/>
              <w:spacing w:after="0"/>
              <w:rPr>
                <w:sz w:val="20"/>
                <w:szCs w:val="20"/>
                <w:color w:val="auto"/>
              </w:rPr>
            </w:pPr>
            <w:r>
              <w:rPr>
                <w:rFonts w:ascii="Arial" w:cs="Arial" w:eastAsia="Arial" w:hAnsi="Arial"/>
                <w:sz w:val="16"/>
                <w:szCs w:val="16"/>
                <w:color w:val="auto"/>
              </w:rPr>
              <w:t>R. Halls</w:t>
            </w: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10,000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04/18/2002</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04/18/2003</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04/18/2004</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04/18/2005</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16,667</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02/02/2003</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02/02/2004</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02/02/2005</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02/02/2006</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20,000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04/01/2004</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04/01/2005</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04/01/2006</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04/01/2007</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30,000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03/23/2005</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03/23/2006</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03/23/2007</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03/23/2008</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30,000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03/22/2006</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03/22/2007</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03/22/2008</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03/22/2009</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30,000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10/12/2006</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10/12/2007</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10/12/2008</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10/12/2009</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30,000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03/28/2007</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03/28/2008</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03/28/2009</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03/28/2010</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ind w:left="20"/>
              <w:spacing w:after="0"/>
              <w:rPr>
                <w:sz w:val="20"/>
                <w:szCs w:val="20"/>
                <w:color w:val="auto"/>
              </w:rPr>
            </w:pPr>
            <w:r>
              <w:rPr>
                <w:rFonts w:ascii="Arial" w:cs="Arial" w:eastAsia="Arial" w:hAnsi="Arial"/>
                <w:sz w:val="16"/>
                <w:szCs w:val="16"/>
                <w:color w:val="auto"/>
              </w:rPr>
              <w:t>G. Bahler</w:t>
            </w: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25,000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04/08/1998</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04/08/1999</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04/08/2000</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04/08/2001</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20,002</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04/12/2000</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04/12/2001</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04/12/2002</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04/12/2003</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47,500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04/11/2001</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04/11/2002</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04/11/2003</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04/11/2004</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47,500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04/18/2002</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04/18/2003</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04/18/2004</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04/18/2005</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33,000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04/16/2003</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04/16/2004</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04/16/2005</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04/16/2006</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32,000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04/01/2004</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04/01/2005</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04/01/2006</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04/01/2007</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25,000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03/23/2005</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03/23/2006</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03/23/2007</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03/23/2008</w:t>
            </w:r>
          </w:p>
        </w:tc>
        <w:tc>
          <w:tcPr>
            <w:tcW w:w="240" w:type="dxa"/>
            <w:vAlign w:val="bottom"/>
            <w:tcBorders>
              <w:right w:val="single" w:sz="8" w:color="auto"/>
            </w:tcBorders>
          </w:tcPr>
          <w:p>
            <w:pPr>
              <w:spacing w:after="0"/>
              <w:rPr>
                <w:sz w:val="23"/>
                <w:szCs w:val="23"/>
                <w:color w:val="auto"/>
              </w:rPr>
            </w:pPr>
          </w:p>
        </w:tc>
      </w:tr>
      <w:tr>
        <w:trPr>
          <w:trHeight w:val="266"/>
        </w:trPr>
        <w:tc>
          <w:tcPr>
            <w:tcW w:w="140" w:type="dxa"/>
            <w:vAlign w:val="bottom"/>
            <w:tcBorders>
              <w:lef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1880" w:type="dxa"/>
            <w:vAlign w:val="bottom"/>
            <w:gridSpan w:val="2"/>
          </w:tcPr>
          <w:p>
            <w:pPr>
              <w:jc w:val="right"/>
              <w:ind w:right="129"/>
              <w:spacing w:after="0"/>
              <w:rPr>
                <w:sz w:val="20"/>
                <w:szCs w:val="20"/>
                <w:color w:val="auto"/>
              </w:rPr>
            </w:pPr>
            <w:r>
              <w:rPr>
                <w:rFonts w:ascii="Arial" w:cs="Arial" w:eastAsia="Arial" w:hAnsi="Arial"/>
                <w:sz w:val="16"/>
                <w:szCs w:val="16"/>
                <w:color w:val="auto"/>
              </w:rPr>
              <w:t>25,000</w:t>
            </w:r>
          </w:p>
        </w:tc>
        <w:tc>
          <w:tcPr>
            <w:tcW w:w="1340" w:type="dxa"/>
            <w:vAlign w:val="bottom"/>
            <w:gridSpan w:val="2"/>
          </w:tcPr>
          <w:p>
            <w:pPr>
              <w:jc w:val="right"/>
              <w:ind w:right="29"/>
              <w:spacing w:after="0"/>
              <w:rPr>
                <w:sz w:val="20"/>
                <w:szCs w:val="20"/>
                <w:color w:val="auto"/>
              </w:rPr>
            </w:pPr>
            <w:r>
              <w:rPr>
                <w:rFonts w:ascii="Arial" w:cs="Arial" w:eastAsia="Arial" w:hAnsi="Arial"/>
                <w:sz w:val="16"/>
                <w:szCs w:val="16"/>
                <w:color w:val="auto"/>
              </w:rPr>
              <w:t>03/22/2006</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03/22/2007</w:t>
            </w:r>
          </w:p>
        </w:tc>
        <w:tc>
          <w:tcPr>
            <w:tcW w:w="1840" w:type="dxa"/>
            <w:vAlign w:val="bottom"/>
            <w:gridSpan w:val="2"/>
          </w:tcPr>
          <w:p>
            <w:pPr>
              <w:jc w:val="right"/>
              <w:ind w:right="69"/>
              <w:spacing w:after="0"/>
              <w:rPr>
                <w:sz w:val="20"/>
                <w:szCs w:val="20"/>
                <w:color w:val="auto"/>
              </w:rPr>
            </w:pPr>
            <w:r>
              <w:rPr>
                <w:rFonts w:ascii="Arial" w:cs="Arial" w:eastAsia="Arial" w:hAnsi="Arial"/>
                <w:sz w:val="16"/>
                <w:szCs w:val="16"/>
                <w:color w:val="auto"/>
              </w:rPr>
              <w:t>03/22/2008</w:t>
            </w:r>
          </w:p>
        </w:tc>
        <w:tc>
          <w:tcPr>
            <w:tcW w:w="1880" w:type="dxa"/>
            <w:vAlign w:val="bottom"/>
            <w:gridSpan w:val="2"/>
          </w:tcPr>
          <w:p>
            <w:pPr>
              <w:jc w:val="right"/>
              <w:ind w:right="69"/>
              <w:spacing w:after="0"/>
              <w:rPr>
                <w:sz w:val="20"/>
                <w:szCs w:val="20"/>
                <w:color w:val="auto"/>
              </w:rPr>
            </w:pPr>
            <w:r>
              <w:rPr>
                <w:rFonts w:ascii="Arial" w:cs="Arial" w:eastAsia="Arial" w:hAnsi="Arial"/>
                <w:sz w:val="16"/>
                <w:szCs w:val="16"/>
                <w:color w:val="auto"/>
              </w:rPr>
              <w:t>03/22/2009</w:t>
            </w:r>
          </w:p>
        </w:tc>
        <w:tc>
          <w:tcPr>
            <w:tcW w:w="240" w:type="dxa"/>
            <w:vAlign w:val="bottom"/>
            <w:tcBorders>
              <w:right w:val="single" w:sz="8" w:color="auto"/>
            </w:tcBorders>
          </w:tcPr>
          <w:p>
            <w:pPr>
              <w:spacing w:after="0"/>
              <w:rPr>
                <w:sz w:val="23"/>
                <w:szCs w:val="23"/>
                <w:color w:val="auto"/>
              </w:rPr>
            </w:pPr>
          </w:p>
        </w:tc>
      </w:tr>
      <w:tr>
        <w:trPr>
          <w:trHeight w:val="274"/>
        </w:trPr>
        <w:tc>
          <w:tcPr>
            <w:tcW w:w="140" w:type="dxa"/>
            <w:vAlign w:val="bottom"/>
            <w:tcBorders>
              <w:left w:val="single" w:sz="8" w:color="auto"/>
            </w:tcBorders>
          </w:tcPr>
          <w:p>
            <w:pPr>
              <w:spacing w:after="0"/>
              <w:rPr>
                <w:sz w:val="23"/>
                <w:szCs w:val="23"/>
                <w:color w:val="auto"/>
              </w:rPr>
            </w:pPr>
          </w:p>
        </w:tc>
        <w:tc>
          <w:tcPr>
            <w:tcW w:w="2180" w:type="dxa"/>
            <w:vAlign w:val="bottom"/>
            <w:shd w:val="clear" w:color="auto" w:fill="E5FFFF"/>
          </w:tcPr>
          <w:p>
            <w:pPr>
              <w:spacing w:after="0"/>
              <w:rPr>
                <w:sz w:val="23"/>
                <w:szCs w:val="23"/>
                <w:color w:val="auto"/>
              </w:rPr>
            </w:pPr>
          </w:p>
        </w:tc>
        <w:tc>
          <w:tcPr>
            <w:tcW w:w="1880" w:type="dxa"/>
            <w:vAlign w:val="bottom"/>
            <w:gridSpan w:val="2"/>
            <w:shd w:val="clear" w:color="auto" w:fill="E5FFFF"/>
          </w:tcPr>
          <w:p>
            <w:pPr>
              <w:jc w:val="right"/>
              <w:ind w:right="129"/>
              <w:spacing w:after="0"/>
              <w:rPr>
                <w:sz w:val="20"/>
                <w:szCs w:val="20"/>
                <w:color w:val="auto"/>
              </w:rPr>
            </w:pPr>
            <w:r>
              <w:rPr>
                <w:rFonts w:ascii="Arial" w:cs="Arial" w:eastAsia="Arial" w:hAnsi="Arial"/>
                <w:sz w:val="16"/>
                <w:szCs w:val="16"/>
                <w:color w:val="auto"/>
              </w:rPr>
              <w:t>20,000</w:t>
            </w:r>
          </w:p>
        </w:tc>
        <w:tc>
          <w:tcPr>
            <w:tcW w:w="1340" w:type="dxa"/>
            <w:vAlign w:val="bottom"/>
            <w:gridSpan w:val="2"/>
            <w:shd w:val="clear" w:color="auto" w:fill="E5FFFF"/>
          </w:tcPr>
          <w:p>
            <w:pPr>
              <w:jc w:val="right"/>
              <w:ind w:right="29"/>
              <w:spacing w:after="0"/>
              <w:rPr>
                <w:sz w:val="20"/>
                <w:szCs w:val="20"/>
                <w:color w:val="auto"/>
              </w:rPr>
            </w:pPr>
            <w:r>
              <w:rPr>
                <w:rFonts w:ascii="Arial" w:cs="Arial" w:eastAsia="Arial" w:hAnsi="Arial"/>
                <w:sz w:val="16"/>
                <w:szCs w:val="16"/>
                <w:color w:val="auto"/>
              </w:rPr>
              <w:t>03/28/2007</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03/28/2008</w:t>
            </w:r>
          </w:p>
        </w:tc>
        <w:tc>
          <w:tcPr>
            <w:tcW w:w="184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03/28/2009</w:t>
            </w:r>
          </w:p>
        </w:tc>
        <w:tc>
          <w:tcPr>
            <w:tcW w:w="1880" w:type="dxa"/>
            <w:vAlign w:val="bottom"/>
            <w:gridSpan w:val="2"/>
            <w:shd w:val="clear" w:color="auto" w:fill="E5FFFF"/>
          </w:tcPr>
          <w:p>
            <w:pPr>
              <w:jc w:val="right"/>
              <w:ind w:right="69"/>
              <w:spacing w:after="0"/>
              <w:rPr>
                <w:sz w:val="20"/>
                <w:szCs w:val="20"/>
                <w:color w:val="auto"/>
              </w:rPr>
            </w:pPr>
            <w:r>
              <w:rPr>
                <w:rFonts w:ascii="Arial" w:cs="Arial" w:eastAsia="Arial" w:hAnsi="Arial"/>
                <w:sz w:val="16"/>
                <w:szCs w:val="16"/>
                <w:color w:val="auto"/>
              </w:rPr>
              <w:t>03/28/2010</w:t>
            </w:r>
          </w:p>
        </w:tc>
        <w:tc>
          <w:tcPr>
            <w:tcW w:w="240" w:type="dxa"/>
            <w:vAlign w:val="bottom"/>
            <w:tcBorders>
              <w:right w:val="single" w:sz="8" w:color="auto"/>
            </w:tcBorders>
          </w:tcPr>
          <w:p>
            <w:pPr>
              <w:spacing w:after="0"/>
              <w:rPr>
                <w:sz w:val="23"/>
                <w:szCs w:val="23"/>
                <w:color w:val="auto"/>
              </w:rPr>
            </w:pPr>
          </w:p>
        </w:tc>
      </w:tr>
      <w:tr>
        <w:trPr>
          <w:trHeight w:val="280"/>
        </w:trPr>
        <w:tc>
          <w:tcPr>
            <w:tcW w:w="14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-189865</wp:posOffset>
            </wp:positionV>
            <wp:extent cx="695515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55155" cy="171450"/>
                    </a:xfrm>
                    <a:prstGeom prst="rect">
                      <a:avLst/>
                    </a:prstGeom>
                    <a:noFill/>
                  </pic:spPr>
                </pic:pic>
              </a:graphicData>
            </a:graphic>
          </wp:anchor>
        </w:drawing>
      </w:r>
    </w:p>
    <w:p>
      <w:pPr>
        <w:spacing w:after="0" w:line="23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 The vesting dates for the restricted stock awards shown in column (g)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198995" cy="1341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8995" cy="134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40" w:type="dxa"/>
        <w:tblCellMar>
          <w:top w:w="0" w:type="dxa"/>
          <w:left w:w="0" w:type="dxa"/>
          <w:bottom w:w="0" w:type="dxa"/>
          <w:right w:w="0" w:type="dxa"/>
        </w:tblCellMar>
      </w:tblPr>
      <w:tr>
        <w:trPr>
          <w:trHeight w:val="209"/>
        </w:trPr>
        <w:tc>
          <w:tcPr>
            <w:tcW w:w="4460" w:type="dxa"/>
            <w:vAlign w:val="bottom"/>
            <w:tcBorders>
              <w:bottom w:val="single" w:sz="8" w:color="auto"/>
            </w:tcBorders>
          </w:tcPr>
          <w:p>
            <w:pPr>
              <w:ind w:left="2020"/>
              <w:spacing w:after="0"/>
              <w:rPr>
                <w:sz w:val="20"/>
                <w:szCs w:val="20"/>
                <w:color w:val="auto"/>
              </w:rPr>
            </w:pPr>
            <w:r>
              <w:rPr>
                <w:rFonts w:ascii="Arial" w:cs="Arial" w:eastAsia="Arial" w:hAnsi="Arial"/>
                <w:sz w:val="16"/>
                <w:szCs w:val="16"/>
                <w:b w:val="1"/>
                <w:bCs w:val="1"/>
                <w:color w:val="auto"/>
              </w:rPr>
              <w:t>Name</w:t>
            </w:r>
          </w:p>
        </w:tc>
        <w:tc>
          <w:tcPr>
            <w:tcW w:w="380" w:type="dxa"/>
            <w:vAlign w:val="bottom"/>
          </w:tcPr>
          <w:p>
            <w:pPr>
              <w:spacing w:after="0"/>
              <w:rPr>
                <w:sz w:val="18"/>
                <w:szCs w:val="18"/>
                <w:color w:val="auto"/>
              </w:rPr>
            </w:pPr>
          </w:p>
        </w:tc>
        <w:tc>
          <w:tcPr>
            <w:tcW w:w="16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Date of Grant</w:t>
            </w:r>
          </w:p>
        </w:tc>
        <w:tc>
          <w:tcPr>
            <w:tcW w:w="380" w:type="dxa"/>
            <w:vAlign w:val="bottom"/>
          </w:tcPr>
          <w:p>
            <w:pPr>
              <w:spacing w:after="0"/>
              <w:rPr>
                <w:sz w:val="18"/>
                <w:szCs w:val="18"/>
                <w:color w:val="auto"/>
              </w:rPr>
            </w:pPr>
          </w:p>
        </w:tc>
        <w:tc>
          <w:tcPr>
            <w:tcW w:w="21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Number of Shares</w:t>
            </w:r>
          </w:p>
        </w:tc>
        <w:tc>
          <w:tcPr>
            <w:tcW w:w="380" w:type="dxa"/>
            <w:vAlign w:val="bottom"/>
          </w:tcPr>
          <w:p>
            <w:pPr>
              <w:spacing w:after="0"/>
              <w:rPr>
                <w:sz w:val="18"/>
                <w:szCs w:val="18"/>
                <w:color w:val="auto"/>
              </w:rPr>
            </w:pPr>
          </w:p>
        </w:tc>
        <w:tc>
          <w:tcPr>
            <w:tcW w:w="16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Vesting Date</w:t>
            </w:r>
          </w:p>
        </w:tc>
      </w:tr>
      <w:tr>
        <w:trPr>
          <w:trHeight w:val="268"/>
        </w:trPr>
        <w:tc>
          <w:tcPr>
            <w:tcW w:w="4460" w:type="dxa"/>
            <w:vAlign w:val="bottom"/>
            <w:shd w:val="clear" w:color="auto" w:fill="E5FFFF"/>
          </w:tcPr>
          <w:p>
            <w:pPr>
              <w:ind w:left="20"/>
              <w:spacing w:after="0"/>
              <w:rPr>
                <w:sz w:val="20"/>
                <w:szCs w:val="20"/>
                <w:color w:val="auto"/>
              </w:rPr>
            </w:pPr>
            <w:r>
              <w:rPr>
                <w:rFonts w:ascii="Arial" w:cs="Arial" w:eastAsia="Arial" w:hAnsi="Arial"/>
                <w:sz w:val="19"/>
                <w:szCs w:val="19"/>
                <w:color w:val="auto"/>
              </w:rPr>
              <w:t>M. Serra</w:t>
            </w:r>
          </w:p>
        </w:tc>
        <w:tc>
          <w:tcPr>
            <w:tcW w:w="20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03/22/2006</w:t>
            </w:r>
          </w:p>
        </w:tc>
        <w:tc>
          <w:tcPr>
            <w:tcW w:w="248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18,833</w:t>
            </w:r>
          </w:p>
        </w:tc>
        <w:tc>
          <w:tcPr>
            <w:tcW w:w="200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03/15/2008</w:t>
            </w:r>
          </w:p>
        </w:tc>
      </w:tr>
      <w:tr>
        <w:trPr>
          <w:trHeight w:val="265"/>
        </w:trPr>
        <w:tc>
          <w:tcPr>
            <w:tcW w:w="4460" w:type="dxa"/>
            <w:vAlign w:val="bottom"/>
          </w:tcPr>
          <w:p>
            <w:pPr>
              <w:spacing w:after="0"/>
              <w:rPr>
                <w:sz w:val="23"/>
                <w:szCs w:val="23"/>
                <w:color w:val="auto"/>
              </w:rPr>
            </w:pPr>
          </w:p>
        </w:tc>
        <w:tc>
          <w:tcPr>
            <w:tcW w:w="2020" w:type="dxa"/>
            <w:vAlign w:val="bottom"/>
            <w:gridSpan w:val="2"/>
          </w:tcPr>
          <w:p>
            <w:pPr>
              <w:jc w:val="right"/>
              <w:ind w:right="41"/>
              <w:spacing w:after="0"/>
              <w:rPr>
                <w:sz w:val="20"/>
                <w:szCs w:val="20"/>
                <w:color w:val="auto"/>
              </w:rPr>
            </w:pPr>
            <w:r>
              <w:rPr>
                <w:rFonts w:ascii="Arial" w:cs="Arial" w:eastAsia="Arial" w:hAnsi="Arial"/>
                <w:sz w:val="19"/>
                <w:szCs w:val="19"/>
                <w:color w:val="auto"/>
              </w:rPr>
              <w:t>03/22/2006</w:t>
            </w:r>
          </w:p>
        </w:tc>
        <w:tc>
          <w:tcPr>
            <w:tcW w:w="2480" w:type="dxa"/>
            <w:vAlign w:val="bottom"/>
            <w:gridSpan w:val="2"/>
          </w:tcPr>
          <w:p>
            <w:pPr>
              <w:jc w:val="right"/>
              <w:ind w:right="141"/>
              <w:spacing w:after="0"/>
              <w:rPr>
                <w:sz w:val="20"/>
                <w:szCs w:val="20"/>
                <w:color w:val="auto"/>
              </w:rPr>
            </w:pPr>
            <w:r>
              <w:rPr>
                <w:rFonts w:ascii="Arial" w:cs="Arial" w:eastAsia="Arial" w:hAnsi="Arial"/>
                <w:sz w:val="19"/>
                <w:szCs w:val="19"/>
                <w:color w:val="auto"/>
              </w:rPr>
              <w:t>18,834</w:t>
            </w:r>
          </w:p>
        </w:tc>
        <w:tc>
          <w:tcPr>
            <w:tcW w:w="2000" w:type="dxa"/>
            <w:vAlign w:val="bottom"/>
            <w:gridSpan w:val="2"/>
          </w:tcPr>
          <w:p>
            <w:pPr>
              <w:jc w:val="right"/>
              <w:ind w:right="61"/>
              <w:spacing w:after="0"/>
              <w:rPr>
                <w:sz w:val="20"/>
                <w:szCs w:val="20"/>
                <w:color w:val="auto"/>
              </w:rPr>
            </w:pPr>
            <w:r>
              <w:rPr>
                <w:rFonts w:ascii="Arial" w:cs="Arial" w:eastAsia="Arial" w:hAnsi="Arial"/>
                <w:sz w:val="19"/>
                <w:szCs w:val="19"/>
                <w:color w:val="auto"/>
              </w:rPr>
              <w:t>03/15/2009</w:t>
            </w:r>
          </w:p>
        </w:tc>
      </w:tr>
      <w:tr>
        <w:trPr>
          <w:trHeight w:val="275"/>
        </w:trPr>
        <w:tc>
          <w:tcPr>
            <w:tcW w:w="4460" w:type="dxa"/>
            <w:vAlign w:val="bottom"/>
            <w:shd w:val="clear" w:color="auto" w:fill="E5FFFF"/>
          </w:tcPr>
          <w:p>
            <w:pPr>
              <w:spacing w:after="0"/>
              <w:rPr>
                <w:sz w:val="23"/>
                <w:szCs w:val="23"/>
                <w:color w:val="auto"/>
              </w:rPr>
            </w:pPr>
          </w:p>
        </w:tc>
        <w:tc>
          <w:tcPr>
            <w:tcW w:w="20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03/28/2007</w:t>
            </w:r>
          </w:p>
        </w:tc>
        <w:tc>
          <w:tcPr>
            <w:tcW w:w="248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100,000</w:t>
            </w:r>
          </w:p>
        </w:tc>
        <w:tc>
          <w:tcPr>
            <w:tcW w:w="200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01/30/2010</w:t>
            </w:r>
          </w:p>
        </w:tc>
      </w:tr>
      <w:tr>
        <w:trPr>
          <w:trHeight w:val="265"/>
        </w:trPr>
        <w:tc>
          <w:tcPr>
            <w:tcW w:w="4460" w:type="dxa"/>
            <w:vAlign w:val="bottom"/>
          </w:tcPr>
          <w:p>
            <w:pPr>
              <w:ind w:left="20"/>
              <w:spacing w:after="0"/>
              <w:rPr>
                <w:sz w:val="20"/>
                <w:szCs w:val="20"/>
                <w:color w:val="auto"/>
              </w:rPr>
            </w:pPr>
            <w:r>
              <w:rPr>
                <w:rFonts w:ascii="Arial" w:cs="Arial" w:eastAsia="Arial" w:hAnsi="Arial"/>
                <w:sz w:val="19"/>
                <w:szCs w:val="19"/>
                <w:color w:val="auto"/>
              </w:rPr>
              <w:t>R. McHugh</w:t>
            </w:r>
          </w:p>
        </w:tc>
        <w:tc>
          <w:tcPr>
            <w:tcW w:w="2020" w:type="dxa"/>
            <w:vAlign w:val="bottom"/>
            <w:gridSpan w:val="2"/>
          </w:tcPr>
          <w:p>
            <w:pPr>
              <w:jc w:val="right"/>
              <w:ind w:right="41"/>
              <w:spacing w:after="0"/>
              <w:rPr>
                <w:sz w:val="20"/>
                <w:szCs w:val="20"/>
                <w:color w:val="auto"/>
              </w:rPr>
            </w:pPr>
            <w:r>
              <w:rPr>
                <w:rFonts w:ascii="Arial" w:cs="Arial" w:eastAsia="Arial" w:hAnsi="Arial"/>
                <w:sz w:val="19"/>
                <w:szCs w:val="19"/>
                <w:color w:val="auto"/>
              </w:rPr>
              <w:t>11/21/2005</w:t>
            </w:r>
          </w:p>
        </w:tc>
        <w:tc>
          <w:tcPr>
            <w:tcW w:w="2480" w:type="dxa"/>
            <w:vAlign w:val="bottom"/>
            <w:gridSpan w:val="2"/>
          </w:tcPr>
          <w:p>
            <w:pPr>
              <w:jc w:val="right"/>
              <w:ind w:right="141"/>
              <w:spacing w:after="0"/>
              <w:rPr>
                <w:sz w:val="20"/>
                <w:szCs w:val="20"/>
                <w:color w:val="auto"/>
              </w:rPr>
            </w:pPr>
            <w:r>
              <w:rPr>
                <w:rFonts w:ascii="Arial" w:cs="Arial" w:eastAsia="Arial" w:hAnsi="Arial"/>
                <w:sz w:val="19"/>
                <w:szCs w:val="19"/>
                <w:color w:val="auto"/>
              </w:rPr>
              <w:t>30,000</w:t>
            </w:r>
          </w:p>
        </w:tc>
        <w:tc>
          <w:tcPr>
            <w:tcW w:w="2000" w:type="dxa"/>
            <w:vAlign w:val="bottom"/>
            <w:gridSpan w:val="2"/>
          </w:tcPr>
          <w:p>
            <w:pPr>
              <w:jc w:val="right"/>
              <w:ind w:right="61"/>
              <w:spacing w:after="0"/>
              <w:rPr>
                <w:sz w:val="20"/>
                <w:szCs w:val="20"/>
                <w:color w:val="auto"/>
              </w:rPr>
            </w:pPr>
            <w:r>
              <w:rPr>
                <w:rFonts w:ascii="Arial" w:cs="Arial" w:eastAsia="Arial" w:hAnsi="Arial"/>
                <w:sz w:val="19"/>
                <w:szCs w:val="19"/>
                <w:color w:val="auto"/>
              </w:rPr>
              <w:t>11/30/2008</w:t>
            </w:r>
          </w:p>
        </w:tc>
      </w:tr>
      <w:tr>
        <w:trPr>
          <w:trHeight w:val="264"/>
        </w:trPr>
        <w:tc>
          <w:tcPr>
            <w:tcW w:w="4460" w:type="dxa"/>
            <w:vAlign w:val="bottom"/>
            <w:shd w:val="clear" w:color="auto" w:fill="E5FFFF"/>
          </w:tcPr>
          <w:p>
            <w:pPr>
              <w:spacing w:after="0"/>
              <w:rPr>
                <w:sz w:val="22"/>
                <w:szCs w:val="22"/>
                <w:color w:val="auto"/>
              </w:rPr>
            </w:pPr>
          </w:p>
        </w:tc>
        <w:tc>
          <w:tcPr>
            <w:tcW w:w="2020" w:type="dxa"/>
            <w:vAlign w:val="bottom"/>
            <w:gridSpan w:val="2"/>
            <w:shd w:val="clear" w:color="auto" w:fill="E5FFFF"/>
          </w:tcPr>
          <w:p>
            <w:pPr>
              <w:jc w:val="right"/>
              <w:ind w:right="41"/>
              <w:spacing w:after="0"/>
              <w:rPr>
                <w:sz w:val="20"/>
                <w:szCs w:val="20"/>
                <w:color w:val="auto"/>
              </w:rPr>
            </w:pPr>
            <w:r>
              <w:rPr>
                <w:rFonts w:ascii="Arial" w:cs="Arial" w:eastAsia="Arial" w:hAnsi="Arial"/>
                <w:sz w:val="19"/>
                <w:szCs w:val="19"/>
                <w:color w:val="auto"/>
              </w:rPr>
              <w:t>03/28/2007</w:t>
            </w:r>
          </w:p>
        </w:tc>
        <w:tc>
          <w:tcPr>
            <w:tcW w:w="2480" w:type="dxa"/>
            <w:vAlign w:val="bottom"/>
            <w:gridSpan w:val="2"/>
            <w:shd w:val="clear" w:color="auto" w:fill="E5FFFF"/>
          </w:tcPr>
          <w:p>
            <w:pPr>
              <w:jc w:val="right"/>
              <w:ind w:right="141"/>
              <w:spacing w:after="0"/>
              <w:rPr>
                <w:sz w:val="20"/>
                <w:szCs w:val="20"/>
                <w:color w:val="auto"/>
              </w:rPr>
            </w:pPr>
            <w:r>
              <w:rPr>
                <w:rFonts w:ascii="Arial" w:cs="Arial" w:eastAsia="Arial" w:hAnsi="Arial"/>
                <w:sz w:val="19"/>
                <w:szCs w:val="19"/>
                <w:color w:val="auto"/>
              </w:rPr>
              <w:t>40,000</w:t>
            </w:r>
          </w:p>
        </w:tc>
        <w:tc>
          <w:tcPr>
            <w:tcW w:w="2000" w:type="dxa"/>
            <w:vAlign w:val="bottom"/>
            <w:gridSpan w:val="2"/>
            <w:shd w:val="clear" w:color="auto" w:fill="E5FFFF"/>
          </w:tcPr>
          <w:p>
            <w:pPr>
              <w:jc w:val="right"/>
              <w:ind w:right="61"/>
              <w:spacing w:after="0"/>
              <w:rPr>
                <w:sz w:val="20"/>
                <w:szCs w:val="20"/>
                <w:color w:val="auto"/>
              </w:rPr>
            </w:pPr>
            <w:r>
              <w:rPr>
                <w:rFonts w:ascii="Arial" w:cs="Arial" w:eastAsia="Arial" w:hAnsi="Arial"/>
                <w:sz w:val="19"/>
                <w:szCs w:val="19"/>
                <w:color w:val="auto"/>
              </w:rPr>
              <w:t>03/15/2010</w:t>
            </w:r>
          </w:p>
        </w:tc>
      </w:tr>
    </w:tbl>
    <w:p>
      <w:pPr>
        <w:sectPr>
          <w:pgSz w:w="11900" w:h="16900" w:orient="portrait"/>
          <w:cols w:equalWidth="0" w:num="1">
            <w:col w:w="11340"/>
          </w:cols>
          <w:pgMar w:left="240" w:top="126" w:right="319" w:bottom="0" w:gutter="0" w:footer="0" w:header="0"/>
        </w:sectPr>
      </w:pPr>
    </w:p>
    <w:bookmarkStart w:id="40" w:name="page41"/>
    <w:bookmarkEnd w:id="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140" w:type="dxa"/>
            <w:vAlign w:val="bottom"/>
            <w:tcBorders>
              <w:left w:val="single" w:sz="8" w:color="auto"/>
            </w:tcBorders>
          </w:tcPr>
          <w:p>
            <w:pPr>
              <w:spacing w:after="0"/>
              <w:rPr>
                <w:sz w:val="23"/>
                <w:szCs w:val="23"/>
                <w:color w:val="auto"/>
              </w:rPr>
            </w:pPr>
          </w:p>
        </w:tc>
        <w:tc>
          <w:tcPr>
            <w:tcW w:w="3120" w:type="dxa"/>
            <w:vAlign w:val="bottom"/>
          </w:tcPr>
          <w:p>
            <w:pPr>
              <w:ind w:left="20"/>
              <w:spacing w:after="0"/>
              <w:rPr>
                <w:sz w:val="20"/>
                <w:szCs w:val="20"/>
                <w:color w:val="auto"/>
              </w:rPr>
            </w:pPr>
            <w:r>
              <w:rPr>
                <w:rFonts w:ascii="Arial" w:cs="Arial" w:eastAsia="Arial" w:hAnsi="Arial"/>
                <w:sz w:val="19"/>
                <w:szCs w:val="19"/>
                <w:color w:val="auto"/>
              </w:rPr>
              <w:t>R. Mina</w:t>
            </w:r>
          </w:p>
        </w:tc>
        <w:tc>
          <w:tcPr>
            <w:tcW w:w="4160" w:type="dxa"/>
            <w:vAlign w:val="bottom"/>
          </w:tcPr>
          <w:p>
            <w:pPr>
              <w:ind w:left="2360"/>
              <w:spacing w:after="0"/>
              <w:rPr>
                <w:sz w:val="20"/>
                <w:szCs w:val="20"/>
                <w:color w:val="auto"/>
              </w:rPr>
            </w:pPr>
            <w:r>
              <w:rPr>
                <w:rFonts w:ascii="Arial" w:cs="Arial" w:eastAsia="Arial" w:hAnsi="Arial"/>
                <w:sz w:val="19"/>
                <w:szCs w:val="19"/>
                <w:color w:val="auto"/>
              </w:rPr>
              <w:t>03/23/2005</w:t>
            </w:r>
          </w:p>
        </w:tc>
        <w:tc>
          <w:tcPr>
            <w:tcW w:w="2060" w:type="dxa"/>
            <w:vAlign w:val="bottom"/>
          </w:tcPr>
          <w:p>
            <w:pPr>
              <w:jc w:val="right"/>
              <w:ind w:right="503"/>
              <w:spacing w:after="0"/>
              <w:rPr>
                <w:sz w:val="20"/>
                <w:szCs w:val="20"/>
                <w:color w:val="auto"/>
              </w:rPr>
            </w:pPr>
            <w:r>
              <w:rPr>
                <w:rFonts w:ascii="Arial" w:cs="Arial" w:eastAsia="Arial" w:hAnsi="Arial"/>
                <w:sz w:val="19"/>
                <w:szCs w:val="19"/>
                <w:color w:val="auto"/>
              </w:rPr>
              <w:t>40,000</w:t>
            </w:r>
          </w:p>
        </w:tc>
        <w:tc>
          <w:tcPr>
            <w:tcW w:w="1620" w:type="dxa"/>
            <w:vAlign w:val="bottom"/>
          </w:tcPr>
          <w:p>
            <w:pPr>
              <w:jc w:val="right"/>
              <w:ind w:right="43"/>
              <w:spacing w:after="0"/>
              <w:rPr>
                <w:sz w:val="20"/>
                <w:szCs w:val="20"/>
                <w:color w:val="auto"/>
              </w:rPr>
            </w:pPr>
            <w:r>
              <w:rPr>
                <w:rFonts w:ascii="Arial" w:cs="Arial" w:eastAsia="Arial" w:hAnsi="Arial"/>
                <w:sz w:val="19"/>
                <w:szCs w:val="19"/>
                <w:color w:val="auto"/>
              </w:rPr>
              <w:t>03/15/2008</w:t>
            </w:r>
          </w:p>
        </w:tc>
        <w:tc>
          <w:tcPr>
            <w:tcW w:w="2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72"/>
        </w:trPr>
        <w:tc>
          <w:tcPr>
            <w:tcW w:w="140" w:type="dxa"/>
            <w:vAlign w:val="bottom"/>
            <w:tcBorders>
              <w:left w:val="single" w:sz="8" w:color="auto"/>
            </w:tcBorders>
          </w:tcPr>
          <w:p>
            <w:pPr>
              <w:spacing w:after="0"/>
              <w:rPr>
                <w:sz w:val="23"/>
                <w:szCs w:val="23"/>
                <w:color w:val="auto"/>
              </w:rPr>
            </w:pPr>
          </w:p>
        </w:tc>
        <w:tc>
          <w:tcPr>
            <w:tcW w:w="3120" w:type="dxa"/>
            <w:vAlign w:val="bottom"/>
            <w:shd w:val="clear" w:color="auto" w:fill="E5FFFF"/>
          </w:tcPr>
          <w:p>
            <w:pPr>
              <w:spacing w:after="0"/>
              <w:rPr>
                <w:sz w:val="23"/>
                <w:szCs w:val="23"/>
                <w:color w:val="auto"/>
              </w:rPr>
            </w:pPr>
          </w:p>
        </w:tc>
        <w:tc>
          <w:tcPr>
            <w:tcW w:w="4160" w:type="dxa"/>
            <w:vAlign w:val="bottom"/>
            <w:shd w:val="clear" w:color="auto" w:fill="E5FFFF"/>
          </w:tcPr>
          <w:p>
            <w:pPr>
              <w:ind w:left="2360"/>
              <w:spacing w:after="0"/>
              <w:rPr>
                <w:sz w:val="20"/>
                <w:szCs w:val="20"/>
                <w:color w:val="auto"/>
              </w:rPr>
            </w:pPr>
            <w:r>
              <w:rPr>
                <w:rFonts w:ascii="Arial" w:cs="Arial" w:eastAsia="Arial" w:hAnsi="Arial"/>
                <w:sz w:val="19"/>
                <w:szCs w:val="19"/>
                <w:color w:val="auto"/>
              </w:rPr>
              <w:t>03/22/2006</w:t>
            </w:r>
          </w:p>
        </w:tc>
        <w:tc>
          <w:tcPr>
            <w:tcW w:w="2060" w:type="dxa"/>
            <w:vAlign w:val="bottom"/>
            <w:shd w:val="clear" w:color="auto" w:fill="E5FFFF"/>
          </w:tcPr>
          <w:p>
            <w:pPr>
              <w:jc w:val="right"/>
              <w:ind w:right="503"/>
              <w:spacing w:after="0"/>
              <w:rPr>
                <w:sz w:val="20"/>
                <w:szCs w:val="20"/>
                <w:color w:val="auto"/>
              </w:rPr>
            </w:pPr>
            <w:r>
              <w:rPr>
                <w:rFonts w:ascii="Arial" w:cs="Arial" w:eastAsia="Arial" w:hAnsi="Arial"/>
                <w:sz w:val="19"/>
                <w:szCs w:val="19"/>
                <w:color w:val="auto"/>
              </w:rPr>
              <w:t>50,000</w:t>
            </w:r>
          </w:p>
        </w:tc>
        <w:tc>
          <w:tcPr>
            <w:tcW w:w="16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03/15/2009</w:t>
            </w:r>
          </w:p>
        </w:tc>
        <w:tc>
          <w:tcPr>
            <w:tcW w:w="2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65"/>
        </w:trPr>
        <w:tc>
          <w:tcPr>
            <w:tcW w:w="140" w:type="dxa"/>
            <w:vAlign w:val="bottom"/>
            <w:tcBorders>
              <w:left w:val="single" w:sz="8" w:color="auto"/>
            </w:tcBorders>
          </w:tcPr>
          <w:p>
            <w:pPr>
              <w:spacing w:after="0"/>
              <w:rPr>
                <w:sz w:val="23"/>
                <w:szCs w:val="23"/>
                <w:color w:val="auto"/>
              </w:rPr>
            </w:pPr>
          </w:p>
        </w:tc>
        <w:tc>
          <w:tcPr>
            <w:tcW w:w="3120" w:type="dxa"/>
            <w:vAlign w:val="bottom"/>
          </w:tcPr>
          <w:p>
            <w:pPr>
              <w:spacing w:after="0"/>
              <w:rPr>
                <w:sz w:val="23"/>
                <w:szCs w:val="23"/>
                <w:color w:val="auto"/>
              </w:rPr>
            </w:pPr>
          </w:p>
        </w:tc>
        <w:tc>
          <w:tcPr>
            <w:tcW w:w="4160" w:type="dxa"/>
            <w:vAlign w:val="bottom"/>
          </w:tcPr>
          <w:p>
            <w:pPr>
              <w:ind w:left="2360"/>
              <w:spacing w:after="0"/>
              <w:rPr>
                <w:sz w:val="20"/>
                <w:szCs w:val="20"/>
                <w:color w:val="auto"/>
              </w:rPr>
            </w:pPr>
            <w:r>
              <w:rPr>
                <w:rFonts w:ascii="Arial" w:cs="Arial" w:eastAsia="Arial" w:hAnsi="Arial"/>
                <w:sz w:val="19"/>
                <w:szCs w:val="19"/>
                <w:color w:val="auto"/>
              </w:rPr>
              <w:t>03/28/2007</w:t>
            </w:r>
          </w:p>
        </w:tc>
        <w:tc>
          <w:tcPr>
            <w:tcW w:w="2060" w:type="dxa"/>
            <w:vAlign w:val="bottom"/>
          </w:tcPr>
          <w:p>
            <w:pPr>
              <w:jc w:val="right"/>
              <w:ind w:right="503"/>
              <w:spacing w:after="0"/>
              <w:rPr>
                <w:sz w:val="20"/>
                <w:szCs w:val="20"/>
                <w:color w:val="auto"/>
              </w:rPr>
            </w:pPr>
            <w:r>
              <w:rPr>
                <w:rFonts w:ascii="Arial" w:cs="Arial" w:eastAsia="Arial" w:hAnsi="Arial"/>
                <w:sz w:val="19"/>
                <w:szCs w:val="19"/>
                <w:color w:val="auto"/>
              </w:rPr>
              <w:t>40,000</w:t>
            </w:r>
          </w:p>
        </w:tc>
        <w:tc>
          <w:tcPr>
            <w:tcW w:w="1620" w:type="dxa"/>
            <w:vAlign w:val="bottom"/>
          </w:tcPr>
          <w:p>
            <w:pPr>
              <w:jc w:val="right"/>
              <w:ind w:right="43"/>
              <w:spacing w:after="0"/>
              <w:rPr>
                <w:sz w:val="20"/>
                <w:szCs w:val="20"/>
                <w:color w:val="auto"/>
              </w:rPr>
            </w:pPr>
            <w:r>
              <w:rPr>
                <w:rFonts w:ascii="Arial" w:cs="Arial" w:eastAsia="Arial" w:hAnsi="Arial"/>
                <w:sz w:val="19"/>
                <w:szCs w:val="19"/>
                <w:color w:val="auto"/>
              </w:rPr>
              <w:t>03/15/2010</w:t>
            </w:r>
          </w:p>
        </w:tc>
        <w:tc>
          <w:tcPr>
            <w:tcW w:w="2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75"/>
        </w:trPr>
        <w:tc>
          <w:tcPr>
            <w:tcW w:w="140" w:type="dxa"/>
            <w:vAlign w:val="bottom"/>
            <w:tcBorders>
              <w:left w:val="single" w:sz="8" w:color="auto"/>
            </w:tcBorders>
          </w:tcPr>
          <w:p>
            <w:pPr>
              <w:spacing w:after="0"/>
              <w:rPr>
                <w:sz w:val="23"/>
                <w:szCs w:val="23"/>
                <w:color w:val="auto"/>
              </w:rPr>
            </w:pPr>
          </w:p>
        </w:tc>
        <w:tc>
          <w:tcPr>
            <w:tcW w:w="3120" w:type="dxa"/>
            <w:vAlign w:val="bottom"/>
            <w:shd w:val="clear" w:color="auto" w:fill="E5FFFF"/>
          </w:tcPr>
          <w:p>
            <w:pPr>
              <w:ind w:left="20"/>
              <w:spacing w:after="0"/>
              <w:rPr>
                <w:sz w:val="20"/>
                <w:szCs w:val="20"/>
                <w:color w:val="auto"/>
              </w:rPr>
            </w:pPr>
            <w:r>
              <w:rPr>
                <w:rFonts w:ascii="Arial" w:cs="Arial" w:eastAsia="Arial" w:hAnsi="Arial"/>
                <w:sz w:val="19"/>
                <w:szCs w:val="19"/>
                <w:color w:val="auto"/>
              </w:rPr>
              <w:t>R. Halls</w:t>
            </w:r>
          </w:p>
        </w:tc>
        <w:tc>
          <w:tcPr>
            <w:tcW w:w="4160" w:type="dxa"/>
            <w:vAlign w:val="bottom"/>
            <w:shd w:val="clear" w:color="auto" w:fill="E5FFFF"/>
          </w:tcPr>
          <w:p>
            <w:pPr>
              <w:ind w:left="2360"/>
              <w:spacing w:after="0"/>
              <w:rPr>
                <w:sz w:val="20"/>
                <w:szCs w:val="20"/>
                <w:color w:val="auto"/>
              </w:rPr>
            </w:pPr>
            <w:r>
              <w:rPr>
                <w:rFonts w:ascii="Arial" w:cs="Arial" w:eastAsia="Arial" w:hAnsi="Arial"/>
                <w:sz w:val="19"/>
                <w:szCs w:val="19"/>
                <w:color w:val="auto"/>
              </w:rPr>
              <w:t>03/22/2006</w:t>
            </w:r>
          </w:p>
        </w:tc>
        <w:tc>
          <w:tcPr>
            <w:tcW w:w="2060" w:type="dxa"/>
            <w:vAlign w:val="bottom"/>
            <w:shd w:val="clear" w:color="auto" w:fill="E5FFFF"/>
          </w:tcPr>
          <w:p>
            <w:pPr>
              <w:jc w:val="right"/>
              <w:ind w:right="503"/>
              <w:spacing w:after="0"/>
              <w:rPr>
                <w:sz w:val="20"/>
                <w:szCs w:val="20"/>
                <w:color w:val="auto"/>
              </w:rPr>
            </w:pPr>
            <w:r>
              <w:rPr>
                <w:rFonts w:ascii="Arial" w:cs="Arial" w:eastAsia="Arial" w:hAnsi="Arial"/>
                <w:sz w:val="19"/>
                <w:szCs w:val="19"/>
                <w:color w:val="auto"/>
              </w:rPr>
              <w:t>20,000</w:t>
            </w:r>
          </w:p>
        </w:tc>
        <w:tc>
          <w:tcPr>
            <w:tcW w:w="16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03/15/2009</w:t>
            </w:r>
          </w:p>
        </w:tc>
        <w:tc>
          <w:tcPr>
            <w:tcW w:w="2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65"/>
        </w:trPr>
        <w:tc>
          <w:tcPr>
            <w:tcW w:w="140" w:type="dxa"/>
            <w:vAlign w:val="bottom"/>
            <w:tcBorders>
              <w:left w:val="single" w:sz="8" w:color="auto"/>
            </w:tcBorders>
          </w:tcPr>
          <w:p>
            <w:pPr>
              <w:spacing w:after="0"/>
              <w:rPr>
                <w:sz w:val="23"/>
                <w:szCs w:val="23"/>
                <w:color w:val="auto"/>
              </w:rPr>
            </w:pPr>
          </w:p>
        </w:tc>
        <w:tc>
          <w:tcPr>
            <w:tcW w:w="3120" w:type="dxa"/>
            <w:vAlign w:val="bottom"/>
          </w:tcPr>
          <w:p>
            <w:pPr>
              <w:spacing w:after="0"/>
              <w:rPr>
                <w:sz w:val="23"/>
                <w:szCs w:val="23"/>
                <w:color w:val="auto"/>
              </w:rPr>
            </w:pPr>
          </w:p>
        </w:tc>
        <w:tc>
          <w:tcPr>
            <w:tcW w:w="4160" w:type="dxa"/>
            <w:vAlign w:val="bottom"/>
          </w:tcPr>
          <w:p>
            <w:pPr>
              <w:ind w:left="2360"/>
              <w:spacing w:after="0"/>
              <w:rPr>
                <w:sz w:val="20"/>
                <w:szCs w:val="20"/>
                <w:color w:val="auto"/>
              </w:rPr>
            </w:pPr>
            <w:r>
              <w:rPr>
                <w:rFonts w:ascii="Arial" w:cs="Arial" w:eastAsia="Arial" w:hAnsi="Arial"/>
                <w:sz w:val="19"/>
                <w:szCs w:val="19"/>
                <w:color w:val="auto"/>
              </w:rPr>
              <w:t>10/12/2006</w:t>
            </w:r>
          </w:p>
        </w:tc>
        <w:tc>
          <w:tcPr>
            <w:tcW w:w="2060" w:type="dxa"/>
            <w:vAlign w:val="bottom"/>
          </w:tcPr>
          <w:p>
            <w:pPr>
              <w:jc w:val="right"/>
              <w:ind w:right="503"/>
              <w:spacing w:after="0"/>
              <w:rPr>
                <w:sz w:val="20"/>
                <w:szCs w:val="20"/>
                <w:color w:val="auto"/>
              </w:rPr>
            </w:pPr>
            <w:r>
              <w:rPr>
                <w:rFonts w:ascii="Arial" w:cs="Arial" w:eastAsia="Arial" w:hAnsi="Arial"/>
                <w:sz w:val="19"/>
                <w:szCs w:val="19"/>
                <w:color w:val="auto"/>
              </w:rPr>
              <w:t>30,000</w:t>
            </w:r>
          </w:p>
        </w:tc>
        <w:tc>
          <w:tcPr>
            <w:tcW w:w="1620" w:type="dxa"/>
            <w:vAlign w:val="bottom"/>
          </w:tcPr>
          <w:p>
            <w:pPr>
              <w:jc w:val="right"/>
              <w:ind w:right="43"/>
              <w:spacing w:after="0"/>
              <w:rPr>
                <w:sz w:val="20"/>
                <w:szCs w:val="20"/>
                <w:color w:val="auto"/>
              </w:rPr>
            </w:pPr>
            <w:r>
              <w:rPr>
                <w:rFonts w:ascii="Arial" w:cs="Arial" w:eastAsia="Arial" w:hAnsi="Arial"/>
                <w:sz w:val="19"/>
                <w:szCs w:val="19"/>
                <w:color w:val="auto"/>
              </w:rPr>
              <w:t>10/12/2009</w:t>
            </w:r>
          </w:p>
        </w:tc>
        <w:tc>
          <w:tcPr>
            <w:tcW w:w="2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75"/>
        </w:trPr>
        <w:tc>
          <w:tcPr>
            <w:tcW w:w="140" w:type="dxa"/>
            <w:vAlign w:val="bottom"/>
            <w:tcBorders>
              <w:left w:val="single" w:sz="8" w:color="auto"/>
            </w:tcBorders>
          </w:tcPr>
          <w:p>
            <w:pPr>
              <w:spacing w:after="0"/>
              <w:rPr>
                <w:sz w:val="23"/>
                <w:szCs w:val="23"/>
                <w:color w:val="auto"/>
              </w:rPr>
            </w:pPr>
          </w:p>
        </w:tc>
        <w:tc>
          <w:tcPr>
            <w:tcW w:w="3120" w:type="dxa"/>
            <w:vAlign w:val="bottom"/>
            <w:shd w:val="clear" w:color="auto" w:fill="E5FFFF"/>
          </w:tcPr>
          <w:p>
            <w:pPr>
              <w:spacing w:after="0"/>
              <w:rPr>
                <w:sz w:val="23"/>
                <w:szCs w:val="23"/>
                <w:color w:val="auto"/>
              </w:rPr>
            </w:pPr>
          </w:p>
        </w:tc>
        <w:tc>
          <w:tcPr>
            <w:tcW w:w="4160" w:type="dxa"/>
            <w:vAlign w:val="bottom"/>
            <w:shd w:val="clear" w:color="auto" w:fill="E5FFFF"/>
          </w:tcPr>
          <w:p>
            <w:pPr>
              <w:ind w:left="2360"/>
              <w:spacing w:after="0"/>
              <w:rPr>
                <w:sz w:val="20"/>
                <w:szCs w:val="20"/>
                <w:color w:val="auto"/>
              </w:rPr>
            </w:pPr>
            <w:r>
              <w:rPr>
                <w:rFonts w:ascii="Arial" w:cs="Arial" w:eastAsia="Arial" w:hAnsi="Arial"/>
                <w:sz w:val="19"/>
                <w:szCs w:val="19"/>
                <w:color w:val="auto"/>
              </w:rPr>
              <w:t>03/28/2007</w:t>
            </w:r>
          </w:p>
        </w:tc>
        <w:tc>
          <w:tcPr>
            <w:tcW w:w="2060" w:type="dxa"/>
            <w:vAlign w:val="bottom"/>
            <w:shd w:val="clear" w:color="auto" w:fill="E5FFFF"/>
          </w:tcPr>
          <w:p>
            <w:pPr>
              <w:jc w:val="right"/>
              <w:ind w:right="503"/>
              <w:spacing w:after="0"/>
              <w:rPr>
                <w:sz w:val="20"/>
                <w:szCs w:val="20"/>
                <w:color w:val="auto"/>
              </w:rPr>
            </w:pPr>
            <w:r>
              <w:rPr>
                <w:rFonts w:ascii="Arial" w:cs="Arial" w:eastAsia="Arial" w:hAnsi="Arial"/>
                <w:sz w:val="19"/>
                <w:szCs w:val="19"/>
                <w:color w:val="auto"/>
              </w:rPr>
              <w:t>20,000</w:t>
            </w:r>
          </w:p>
        </w:tc>
        <w:tc>
          <w:tcPr>
            <w:tcW w:w="1620" w:type="dxa"/>
            <w:vAlign w:val="bottom"/>
            <w:shd w:val="clear" w:color="auto" w:fill="E5FFFF"/>
          </w:tcPr>
          <w:p>
            <w:pPr>
              <w:jc w:val="right"/>
              <w:ind w:right="43"/>
              <w:spacing w:after="0"/>
              <w:rPr>
                <w:sz w:val="20"/>
                <w:szCs w:val="20"/>
                <w:color w:val="auto"/>
              </w:rPr>
            </w:pPr>
            <w:r>
              <w:rPr>
                <w:rFonts w:ascii="Arial" w:cs="Arial" w:eastAsia="Arial" w:hAnsi="Arial"/>
                <w:sz w:val="19"/>
                <w:szCs w:val="19"/>
                <w:color w:val="auto"/>
              </w:rPr>
              <w:t>03/15/2010</w:t>
            </w:r>
          </w:p>
        </w:tc>
        <w:tc>
          <w:tcPr>
            <w:tcW w:w="2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61"/>
        </w:trPr>
        <w:tc>
          <w:tcPr>
            <w:tcW w:w="140" w:type="dxa"/>
            <w:vAlign w:val="bottom"/>
            <w:tcBorders>
              <w:left w:val="single" w:sz="8" w:color="auto"/>
            </w:tcBorders>
          </w:tcPr>
          <w:p>
            <w:pPr>
              <w:spacing w:after="0"/>
              <w:rPr>
                <w:sz w:val="22"/>
                <w:szCs w:val="22"/>
                <w:color w:val="auto"/>
              </w:rPr>
            </w:pPr>
          </w:p>
        </w:tc>
        <w:tc>
          <w:tcPr>
            <w:tcW w:w="3120" w:type="dxa"/>
            <w:vAlign w:val="bottom"/>
          </w:tcPr>
          <w:p>
            <w:pPr>
              <w:ind w:left="20"/>
              <w:spacing w:after="0"/>
              <w:rPr>
                <w:sz w:val="20"/>
                <w:szCs w:val="20"/>
                <w:color w:val="auto"/>
              </w:rPr>
            </w:pPr>
            <w:r>
              <w:rPr>
                <w:rFonts w:ascii="Arial" w:cs="Arial" w:eastAsia="Arial" w:hAnsi="Arial"/>
                <w:sz w:val="19"/>
                <w:szCs w:val="19"/>
                <w:color w:val="auto"/>
              </w:rPr>
              <w:t>G. Bahler</w:t>
            </w:r>
          </w:p>
        </w:tc>
        <w:tc>
          <w:tcPr>
            <w:tcW w:w="4160" w:type="dxa"/>
            <w:vAlign w:val="bottom"/>
          </w:tcPr>
          <w:p>
            <w:pPr>
              <w:ind w:left="2360"/>
              <w:spacing w:after="0"/>
              <w:rPr>
                <w:sz w:val="20"/>
                <w:szCs w:val="20"/>
                <w:color w:val="auto"/>
              </w:rPr>
            </w:pPr>
            <w:r>
              <w:rPr>
                <w:rFonts w:ascii="Arial" w:cs="Arial" w:eastAsia="Arial" w:hAnsi="Arial"/>
                <w:sz w:val="19"/>
                <w:szCs w:val="19"/>
                <w:color w:val="auto"/>
              </w:rPr>
              <w:t>03/28/2007</w:t>
            </w:r>
          </w:p>
        </w:tc>
        <w:tc>
          <w:tcPr>
            <w:tcW w:w="2060" w:type="dxa"/>
            <w:vAlign w:val="bottom"/>
          </w:tcPr>
          <w:p>
            <w:pPr>
              <w:jc w:val="right"/>
              <w:ind w:right="503"/>
              <w:spacing w:after="0"/>
              <w:rPr>
                <w:sz w:val="20"/>
                <w:szCs w:val="20"/>
                <w:color w:val="auto"/>
              </w:rPr>
            </w:pPr>
            <w:r>
              <w:rPr>
                <w:rFonts w:ascii="Arial" w:cs="Arial" w:eastAsia="Arial" w:hAnsi="Arial"/>
                <w:sz w:val="19"/>
                <w:szCs w:val="19"/>
                <w:color w:val="auto"/>
              </w:rPr>
              <w:t>40,000</w:t>
            </w:r>
          </w:p>
        </w:tc>
        <w:tc>
          <w:tcPr>
            <w:tcW w:w="1620" w:type="dxa"/>
            <w:vAlign w:val="bottom"/>
          </w:tcPr>
          <w:p>
            <w:pPr>
              <w:jc w:val="right"/>
              <w:ind w:right="43"/>
              <w:spacing w:after="0"/>
              <w:rPr>
                <w:sz w:val="20"/>
                <w:szCs w:val="20"/>
                <w:color w:val="auto"/>
              </w:rPr>
            </w:pPr>
            <w:r>
              <w:rPr>
                <w:rFonts w:ascii="Arial" w:cs="Arial" w:eastAsia="Arial" w:hAnsi="Arial"/>
                <w:sz w:val="19"/>
                <w:szCs w:val="19"/>
                <w:color w:val="auto"/>
              </w:rPr>
              <w:t>03/15/2010</w:t>
            </w:r>
          </w:p>
        </w:tc>
        <w:tc>
          <w:tcPr>
            <w:tcW w:w="2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76"/>
        </w:trPr>
        <w:tc>
          <w:tcPr>
            <w:tcW w:w="140" w:type="dxa"/>
            <w:vAlign w:val="bottom"/>
            <w:tcBorders>
              <w:left w:val="single" w:sz="8" w:color="auto"/>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160" w:type="dxa"/>
            <w:vAlign w:val="bottom"/>
          </w:tcPr>
          <w:p>
            <w:pPr>
              <w:ind w:left="2360"/>
              <w:spacing w:after="0"/>
              <w:rPr>
                <w:sz w:val="20"/>
                <w:szCs w:val="20"/>
                <w:color w:val="auto"/>
              </w:rPr>
            </w:pPr>
            <w:r>
              <w:rPr>
                <w:rFonts w:ascii="Arial" w:cs="Arial" w:eastAsia="Arial" w:hAnsi="Arial"/>
                <w:sz w:val="19"/>
                <w:szCs w:val="19"/>
                <w:color w:val="auto"/>
              </w:rPr>
              <w:t>34</w:t>
            </w: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1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1" w:name="page42"/>
    <w:bookmarkEnd w:id="41"/>
    <w:p>
      <w:pPr>
        <w:ind w:left="420" w:right="600" w:hanging="314"/>
        <w:spacing w:after="0" w:line="283" w:lineRule="auto"/>
        <w:tabs>
          <w:tab w:leader="none" w:pos="4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Value calculated by multiplying the number of unvested shares by the closing price of $13.94 on February 1, 2008, which was the last business day of the 2007 fiscal year.</w:t>
      </w:r>
    </w:p>
    <w:p>
      <w:pPr>
        <w:spacing w:after="0" w:line="65" w:lineRule="exact"/>
        <w:rPr>
          <w:rFonts w:ascii="Arial" w:cs="Arial" w:eastAsia="Arial" w:hAnsi="Arial"/>
          <w:sz w:val="19"/>
          <w:szCs w:val="19"/>
          <w:color w:val="auto"/>
        </w:rPr>
      </w:pPr>
    </w:p>
    <w:p>
      <w:pPr>
        <w:ind w:left="420" w:right="700" w:hanging="314"/>
        <w:spacing w:after="0" w:line="283" w:lineRule="auto"/>
        <w:tabs>
          <w:tab w:leader="none" w:pos="4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Executive has agreed to transfer the economic benefit of 50 percent of this stock option to his spouse under a matrimonial settlement agreement.</w:t>
      </w:r>
    </w:p>
    <w:p>
      <w:pPr>
        <w:spacing w:after="0" w:line="303" w:lineRule="exact"/>
        <w:rPr>
          <w:sz w:val="20"/>
          <w:szCs w:val="20"/>
          <w:color w:val="auto"/>
        </w:rPr>
      </w:pPr>
    </w:p>
    <w:p>
      <w:pPr>
        <w:ind w:right="480" w:firstLine="357"/>
        <w:spacing w:after="0" w:line="289" w:lineRule="auto"/>
        <w:rPr>
          <w:sz w:val="20"/>
          <w:szCs w:val="20"/>
          <w:color w:val="auto"/>
        </w:rPr>
      </w:pPr>
      <w:r>
        <w:rPr>
          <w:rFonts w:ascii="Arial" w:cs="Arial" w:eastAsia="Arial" w:hAnsi="Arial"/>
          <w:sz w:val="19"/>
          <w:szCs w:val="19"/>
          <w:color w:val="auto"/>
        </w:rPr>
        <w:t xml:space="preserve">The following table, </w:t>
      </w:r>
      <w:r>
        <w:rPr>
          <w:rFonts w:ascii="Arial" w:cs="Arial" w:eastAsia="Arial" w:hAnsi="Arial"/>
          <w:sz w:val="19"/>
          <w:szCs w:val="19"/>
          <w:b w:val="1"/>
          <w:bCs w:val="1"/>
          <w:color w:val="auto"/>
        </w:rPr>
        <w:t>Option Exercises and Stock Vested</w:t>
      </w:r>
      <w:r>
        <w:rPr>
          <w:rFonts w:ascii="Arial" w:cs="Arial" w:eastAsia="Arial" w:hAnsi="Arial"/>
          <w:sz w:val="19"/>
          <w:szCs w:val="19"/>
          <w:color w:val="auto"/>
        </w:rPr>
        <w:t>, provides information on the stock options exercised by the named executives during 2007 and shares of restricted stock that vested during the year.</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OPTION EXERCISES AND STOCK VESTED</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580"/>
        </w:trPr>
        <w:tc>
          <w:tcPr>
            <w:tcW w:w="160" w:type="dxa"/>
            <w:vAlign w:val="bottom"/>
            <w:tcBorders>
              <w:top w:val="single" w:sz="8" w:color="auto"/>
              <w:left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0" w:type="dxa"/>
            <w:vAlign w:val="bottom"/>
            <w:tcBorders>
              <w:top w:val="single" w:sz="8" w:color="auto"/>
              <w:bottom w:val="single" w:sz="8" w:color="auto"/>
            </w:tcBorders>
            <w:gridSpan w:val="5"/>
          </w:tcPr>
          <w:p>
            <w:pPr>
              <w:jc w:val="right"/>
              <w:ind w:right="120"/>
              <w:spacing w:after="0"/>
              <w:rPr>
                <w:sz w:val="20"/>
                <w:szCs w:val="20"/>
                <w:color w:val="auto"/>
              </w:rPr>
            </w:pPr>
            <w:r>
              <w:rPr>
                <w:rFonts w:ascii="Arial" w:cs="Arial" w:eastAsia="Arial" w:hAnsi="Arial"/>
                <w:sz w:val="16"/>
                <w:szCs w:val="16"/>
                <w:b w:val="1"/>
                <w:bCs w:val="1"/>
                <w:color w:val="auto"/>
              </w:rPr>
              <w:t>Option Awards</w:t>
            </w:r>
          </w:p>
        </w:tc>
        <w:tc>
          <w:tcPr>
            <w:tcW w:w="1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5"/>
          </w:tcPr>
          <w:p>
            <w:pPr>
              <w:ind w:left="1040"/>
              <w:spacing w:after="0"/>
              <w:rPr>
                <w:sz w:val="20"/>
                <w:szCs w:val="20"/>
                <w:color w:val="auto"/>
              </w:rPr>
            </w:pPr>
            <w:r>
              <w:rPr>
                <w:rFonts w:ascii="Arial" w:cs="Arial" w:eastAsia="Arial" w:hAnsi="Arial"/>
                <w:sz w:val="16"/>
                <w:szCs w:val="16"/>
                <w:b w:val="1"/>
                <w:bCs w:val="1"/>
                <w:color w:val="auto"/>
                <w:w w:val="94"/>
              </w:rPr>
              <w:t>Stock Awards</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r>
      <w:tr>
        <w:trPr>
          <w:trHeight w:val="273"/>
        </w:trPr>
        <w:tc>
          <w:tcPr>
            <w:tcW w:w="160" w:type="dxa"/>
            <w:vAlign w:val="bottom"/>
            <w:tcBorders>
              <w:left w:val="single" w:sz="8" w:color="auto"/>
            </w:tcBorders>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6"/>
                <w:szCs w:val="16"/>
                <w:b w:val="1"/>
                <w:bCs w:val="1"/>
                <w:color w:val="auto"/>
              </w:rPr>
              <w:t>(a)</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0" w:type="dxa"/>
            <w:vAlign w:val="bottom"/>
            <w:gridSpan w:val="5"/>
          </w:tcPr>
          <w:p>
            <w:pPr>
              <w:jc w:val="center"/>
              <w:ind w:right="740"/>
              <w:spacing w:after="0"/>
              <w:rPr>
                <w:sz w:val="20"/>
                <w:szCs w:val="20"/>
                <w:color w:val="auto"/>
              </w:rPr>
            </w:pPr>
            <w:r>
              <w:rPr>
                <w:rFonts w:ascii="Arial" w:cs="Arial" w:eastAsia="Arial" w:hAnsi="Arial"/>
                <w:sz w:val="16"/>
                <w:szCs w:val="16"/>
                <w:b w:val="1"/>
                <w:bCs w:val="1"/>
                <w:color w:val="auto"/>
                <w:w w:val="87"/>
              </w:rPr>
              <w:t>(b)</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1"/>
              </w:rPr>
              <w:t>(c)</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80" w:type="dxa"/>
            <w:vAlign w:val="bottom"/>
            <w:gridSpan w:val="5"/>
          </w:tcPr>
          <w:p>
            <w:pPr>
              <w:jc w:val="center"/>
              <w:ind w:right="680"/>
              <w:spacing w:after="0"/>
              <w:rPr>
                <w:sz w:val="20"/>
                <w:szCs w:val="20"/>
                <w:color w:val="auto"/>
              </w:rPr>
            </w:pPr>
            <w:r>
              <w:rPr>
                <w:rFonts w:ascii="Arial" w:cs="Arial" w:eastAsia="Arial" w:hAnsi="Arial"/>
                <w:sz w:val="16"/>
                <w:szCs w:val="16"/>
                <w:b w:val="1"/>
                <w:bCs w:val="1"/>
                <w:color w:val="auto"/>
                <w:w w:val="97"/>
              </w:rPr>
              <w:t>(d)</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1"/>
              </w:rPr>
              <w:t>(e)</w:t>
            </w:r>
          </w:p>
        </w:tc>
      </w:tr>
      <w:tr>
        <w:trPr>
          <w:trHeight w:val="187"/>
        </w:trPr>
        <w:tc>
          <w:tcPr>
            <w:tcW w:w="160" w:type="dxa"/>
            <w:vAlign w:val="bottom"/>
            <w:tcBorders>
              <w:left w:val="single" w:sz="8" w:color="auto"/>
            </w:tcBorders>
          </w:tcPr>
          <w:p>
            <w:pPr>
              <w:spacing w:after="0"/>
              <w:rPr>
                <w:sz w:val="16"/>
                <w:szCs w:val="16"/>
                <w:color w:val="auto"/>
              </w:rPr>
            </w:pPr>
          </w:p>
        </w:tc>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0" w:type="dxa"/>
            <w:vAlign w:val="bottom"/>
            <w:gridSpan w:val="5"/>
          </w:tcPr>
          <w:p>
            <w:pPr>
              <w:jc w:val="center"/>
              <w:ind w:right="740"/>
              <w:spacing w:after="0"/>
              <w:rPr>
                <w:sz w:val="20"/>
                <w:szCs w:val="20"/>
                <w:color w:val="auto"/>
              </w:rPr>
            </w:pPr>
            <w:r>
              <w:rPr>
                <w:rFonts w:ascii="Arial" w:cs="Arial" w:eastAsia="Arial" w:hAnsi="Arial"/>
                <w:sz w:val="16"/>
                <w:szCs w:val="16"/>
                <w:b w:val="1"/>
                <w:bCs w:val="1"/>
                <w:color w:val="auto"/>
                <w:w w:val="88"/>
              </w:rPr>
              <w:t>Number of Shares</w:t>
            </w:r>
          </w:p>
        </w:tc>
        <w:tc>
          <w:tcPr>
            <w:tcW w:w="1140" w:type="dxa"/>
            <w:vAlign w:val="bottom"/>
            <w:gridSpan w:val="3"/>
          </w:tcPr>
          <w:p>
            <w:pPr>
              <w:jc w:val="center"/>
              <w:ind w:left="21"/>
              <w:spacing w:after="0"/>
              <w:rPr>
                <w:sz w:val="20"/>
                <w:szCs w:val="20"/>
                <w:color w:val="auto"/>
              </w:rPr>
            </w:pPr>
            <w:r>
              <w:rPr>
                <w:rFonts w:ascii="Arial" w:cs="Arial" w:eastAsia="Arial" w:hAnsi="Arial"/>
                <w:sz w:val="16"/>
                <w:szCs w:val="16"/>
                <w:b w:val="1"/>
                <w:bCs w:val="1"/>
                <w:color w:val="auto"/>
                <w:w w:val="89"/>
              </w:rPr>
              <w:t>Value Realized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center"/>
              <w:ind w:right="680"/>
              <w:spacing w:after="0"/>
              <w:rPr>
                <w:sz w:val="20"/>
                <w:szCs w:val="20"/>
                <w:color w:val="auto"/>
              </w:rPr>
            </w:pPr>
            <w:r>
              <w:rPr>
                <w:rFonts w:ascii="Arial" w:cs="Arial" w:eastAsia="Arial" w:hAnsi="Arial"/>
                <w:sz w:val="16"/>
                <w:szCs w:val="16"/>
                <w:b w:val="1"/>
                <w:bCs w:val="1"/>
                <w:color w:val="auto"/>
                <w:w w:val="89"/>
              </w:rPr>
              <w:t>Number of Shares</w:t>
            </w:r>
          </w:p>
        </w:tc>
        <w:tc>
          <w:tcPr>
            <w:tcW w:w="20" w:type="dxa"/>
            <w:vAlign w:val="bottom"/>
          </w:tcPr>
          <w:p>
            <w:pPr>
              <w:spacing w:after="0"/>
              <w:rPr>
                <w:sz w:val="16"/>
                <w:szCs w:val="16"/>
                <w:color w:val="auto"/>
              </w:rPr>
            </w:pPr>
          </w:p>
        </w:tc>
        <w:tc>
          <w:tcPr>
            <w:tcW w:w="150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b w:val="1"/>
                <w:bCs w:val="1"/>
                <w:color w:val="auto"/>
                <w:w w:val="89"/>
              </w:rPr>
              <w:t>Value Realized</w:t>
            </w:r>
          </w:p>
        </w:tc>
      </w:tr>
      <w:tr>
        <w:trPr>
          <w:trHeight w:val="220"/>
        </w:trPr>
        <w:tc>
          <w:tcPr>
            <w:tcW w:w="160" w:type="dxa"/>
            <w:vAlign w:val="bottom"/>
            <w:tcBorders>
              <w:left w:val="single" w:sz="8" w:color="auto"/>
            </w:tcBorders>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7"/>
          </w:tcPr>
          <w:p>
            <w:pPr>
              <w:jc w:val="center"/>
              <w:ind w:right="500"/>
              <w:spacing w:after="0"/>
              <w:rPr>
                <w:sz w:val="20"/>
                <w:szCs w:val="20"/>
                <w:color w:val="auto"/>
              </w:rPr>
            </w:pPr>
            <w:r>
              <w:rPr>
                <w:rFonts w:ascii="Arial" w:cs="Arial" w:eastAsia="Arial" w:hAnsi="Arial"/>
                <w:sz w:val="16"/>
                <w:szCs w:val="16"/>
                <w:b w:val="1"/>
                <w:bCs w:val="1"/>
                <w:color w:val="auto"/>
                <w:w w:val="88"/>
              </w:rPr>
              <w:t>Acquired on Exercise (#)</w:t>
            </w:r>
          </w:p>
        </w:tc>
        <w:tc>
          <w:tcPr>
            <w:tcW w:w="1140" w:type="dxa"/>
            <w:vAlign w:val="bottom"/>
            <w:gridSpan w:val="3"/>
          </w:tcPr>
          <w:p>
            <w:pPr>
              <w:jc w:val="center"/>
              <w:ind w:left="21"/>
              <w:spacing w:after="0"/>
              <w:rPr>
                <w:sz w:val="20"/>
                <w:szCs w:val="20"/>
                <w:color w:val="auto"/>
              </w:rPr>
            </w:pPr>
            <w:r>
              <w:rPr>
                <w:rFonts w:ascii="Arial" w:cs="Arial" w:eastAsia="Arial" w:hAnsi="Arial"/>
                <w:sz w:val="16"/>
                <w:szCs w:val="16"/>
                <w:b w:val="1"/>
                <w:bCs w:val="1"/>
                <w:color w:val="auto"/>
                <w:w w:val="87"/>
              </w:rPr>
              <w:t>on Exercise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gridSpan w:val="6"/>
          </w:tcPr>
          <w:p>
            <w:pPr>
              <w:jc w:val="center"/>
              <w:ind w:right="460"/>
              <w:spacing w:after="0"/>
              <w:rPr>
                <w:sz w:val="20"/>
                <w:szCs w:val="20"/>
                <w:color w:val="auto"/>
              </w:rPr>
            </w:pPr>
            <w:r>
              <w:rPr>
                <w:rFonts w:ascii="Arial" w:cs="Arial" w:eastAsia="Arial" w:hAnsi="Arial"/>
                <w:sz w:val="16"/>
                <w:szCs w:val="16"/>
                <w:b w:val="1"/>
                <w:bCs w:val="1"/>
                <w:color w:val="auto"/>
                <w:w w:val="89"/>
              </w:rPr>
              <w:t>Acquired on Vesting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88"/>
              </w:rPr>
              <w:t>on Vesting ($)</w:t>
            </w:r>
          </w:p>
        </w:tc>
      </w:tr>
      <w:tr>
        <w:trPr>
          <w:trHeight w:val="270"/>
        </w:trPr>
        <w:tc>
          <w:tcPr>
            <w:tcW w:w="160" w:type="dxa"/>
            <w:vAlign w:val="bottom"/>
            <w:tcBorders>
              <w:left w:val="single" w:sz="8" w:color="auto"/>
            </w:tcBorders>
          </w:tcPr>
          <w:p>
            <w:pPr>
              <w:spacing w:after="0"/>
              <w:rPr>
                <w:sz w:val="23"/>
                <w:szCs w:val="23"/>
                <w:color w:val="auto"/>
              </w:rPr>
            </w:pPr>
          </w:p>
        </w:tc>
        <w:tc>
          <w:tcPr>
            <w:tcW w:w="28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9"/>
                <w:szCs w:val="19"/>
                <w:color w:val="auto"/>
              </w:rPr>
              <w:t>M. Serra</w:t>
            </w:r>
          </w:p>
        </w:tc>
        <w:tc>
          <w:tcPr>
            <w:tcW w:w="20" w:type="dxa"/>
            <w:vAlign w:val="bottom"/>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20" w:type="dxa"/>
            <w:vAlign w:val="bottom"/>
            <w:tcBorders>
              <w:top w:val="single" w:sz="8" w:color="auto"/>
            </w:tcBorders>
            <w:shd w:val="clear" w:color="auto" w:fill="E5FFFF"/>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shd w:val="clear" w:color="auto" w:fill="E5FFFF"/>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80" w:type="dxa"/>
            <w:vAlign w:val="bottom"/>
            <w:tcBorders>
              <w:right w:val="single" w:sz="8" w:color="E5FFFF"/>
            </w:tcBorders>
          </w:tcPr>
          <w:p>
            <w:pPr>
              <w:spacing w:after="0"/>
              <w:rPr>
                <w:sz w:val="23"/>
                <w:szCs w:val="23"/>
                <w:color w:val="auto"/>
              </w:rPr>
            </w:pPr>
          </w:p>
        </w:tc>
        <w:tc>
          <w:tcPr>
            <w:tcW w:w="140" w:type="dxa"/>
            <w:vAlign w:val="bottom"/>
            <w:tcBorders>
              <w:top w:val="single" w:sz="8" w:color="auto"/>
            </w:tcBorders>
            <w:shd w:val="clear" w:color="auto" w:fill="E5FFFF"/>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shd w:val="clear" w:color="auto" w:fill="E5FFFF"/>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shd w:val="clear" w:color="auto" w:fill="E5FFFF"/>
          </w:tcPr>
          <w:p>
            <w:pPr>
              <w:spacing w:after="0"/>
              <w:rPr>
                <w:sz w:val="23"/>
                <w:szCs w:val="23"/>
                <w:color w:val="auto"/>
              </w:rPr>
            </w:pP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88,833</w:t>
            </w: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right w:val="single" w:sz="8" w:color="E5FFFF"/>
            </w:tcBorders>
            <w:shd w:val="clear" w:color="auto" w:fill="E5FFFF"/>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shd w:val="clear" w:color="auto" w:fill="E5FFFF"/>
          </w:tcPr>
          <w:p>
            <w:pPr>
              <w:spacing w:after="0"/>
              <w:rPr>
                <w:sz w:val="23"/>
                <w:szCs w:val="23"/>
                <w:color w:val="auto"/>
              </w:rPr>
            </w:pPr>
          </w:p>
        </w:tc>
        <w:tc>
          <w:tcPr>
            <w:tcW w:w="1140" w:type="dxa"/>
            <w:vAlign w:val="bottom"/>
            <w:tcBorders>
              <w:top w:val="single" w:sz="8" w:color="auto"/>
            </w:tcBorders>
            <w:shd w:val="clear" w:color="auto" w:fill="E5FFFF"/>
          </w:tcPr>
          <w:p>
            <w:pPr>
              <w:jc w:val="right"/>
              <w:ind w:right="29"/>
              <w:spacing w:after="0"/>
              <w:rPr>
                <w:sz w:val="20"/>
                <w:szCs w:val="20"/>
                <w:color w:val="auto"/>
              </w:rPr>
            </w:pPr>
            <w:r>
              <w:rPr>
                <w:rFonts w:ascii="Arial" w:cs="Arial" w:eastAsia="Arial" w:hAnsi="Arial"/>
                <w:sz w:val="19"/>
                <w:szCs w:val="19"/>
                <w:color w:val="auto"/>
              </w:rPr>
              <w:t>1,668,806</w:t>
            </w:r>
          </w:p>
        </w:tc>
        <w:tc>
          <w:tcPr>
            <w:tcW w:w="260" w:type="dxa"/>
            <w:vAlign w:val="bottom"/>
            <w:tcBorders>
              <w:right w:val="single" w:sz="8" w:color="auto"/>
            </w:tcBorders>
          </w:tcPr>
          <w:p>
            <w:pPr>
              <w:spacing w:after="0"/>
              <w:rPr>
                <w:sz w:val="23"/>
                <w:szCs w:val="23"/>
                <w:color w:val="auto"/>
              </w:rPr>
            </w:pPr>
          </w:p>
        </w:tc>
      </w:tr>
      <w:tr>
        <w:trPr>
          <w:trHeight w:val="274"/>
        </w:trPr>
        <w:tc>
          <w:tcPr>
            <w:tcW w:w="160" w:type="dxa"/>
            <w:vAlign w:val="bottom"/>
            <w:tcBorders>
              <w:left w:val="single" w:sz="8" w:color="auto"/>
            </w:tcBorders>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9"/>
                <w:szCs w:val="19"/>
                <w:color w:val="auto"/>
              </w:rPr>
              <w:t>R. McHugh</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0" w:type="dxa"/>
            <w:vAlign w:val="bottom"/>
            <w:gridSpan w:val="5"/>
          </w:tcPr>
          <w:p>
            <w:pPr>
              <w:jc w:val="right"/>
              <w:ind w:right="6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w:t>
            </w:r>
          </w:p>
        </w:tc>
        <w:tc>
          <w:tcPr>
            <w:tcW w:w="2340" w:type="dxa"/>
            <w:vAlign w:val="bottom"/>
            <w:gridSpan w:val="9"/>
          </w:tcPr>
          <w:p>
            <w:pPr>
              <w:jc w:val="right"/>
              <w:spacing w:after="0"/>
              <w:rPr>
                <w:sz w:val="20"/>
                <w:szCs w:val="20"/>
                <w:color w:val="auto"/>
              </w:rPr>
            </w:pPr>
            <w:r>
              <w:rPr>
                <w:rFonts w:ascii="Arial" w:cs="Arial" w:eastAsia="Arial" w:hAnsi="Arial"/>
                <w:sz w:val="19"/>
                <w:szCs w:val="19"/>
                <w:color w:val="auto"/>
              </w:rPr>
              <w:t>30,000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3"/>
          </w:tcPr>
          <w:p>
            <w:pPr>
              <w:jc w:val="right"/>
              <w:ind w:right="29"/>
              <w:spacing w:after="0"/>
              <w:rPr>
                <w:sz w:val="20"/>
                <w:szCs w:val="20"/>
                <w:color w:val="auto"/>
              </w:rPr>
            </w:pPr>
            <w:r>
              <w:rPr>
                <w:rFonts w:ascii="Arial" w:cs="Arial" w:eastAsia="Arial" w:hAnsi="Arial"/>
                <w:sz w:val="19"/>
                <w:szCs w:val="19"/>
                <w:color w:val="auto"/>
              </w:rPr>
              <w:t>661,800</w:t>
            </w:r>
          </w:p>
        </w:tc>
        <w:tc>
          <w:tcPr>
            <w:tcW w:w="260" w:type="dxa"/>
            <w:vAlign w:val="bottom"/>
            <w:tcBorders>
              <w:right w:val="single" w:sz="8" w:color="auto"/>
            </w:tcBorders>
          </w:tcPr>
          <w:p>
            <w:pPr>
              <w:spacing w:after="0"/>
              <w:rPr>
                <w:sz w:val="23"/>
                <w:szCs w:val="23"/>
                <w:color w:val="auto"/>
              </w:rPr>
            </w:pPr>
          </w:p>
        </w:tc>
      </w:tr>
      <w:tr>
        <w:trPr>
          <w:trHeight w:val="23"/>
        </w:trPr>
        <w:tc>
          <w:tcPr>
            <w:tcW w:w="160" w:type="dxa"/>
            <w:vAlign w:val="bottom"/>
            <w:tcBorders>
              <w:left w:val="single" w:sz="8" w:color="auto"/>
            </w:tcBorders>
          </w:tcPr>
          <w:p>
            <w:pPr>
              <w:spacing w:after="0"/>
              <w:rPr>
                <w:sz w:val="2"/>
                <w:szCs w:val="2"/>
                <w:color w:val="auto"/>
              </w:rPr>
            </w:pPr>
          </w:p>
        </w:tc>
        <w:tc>
          <w:tcPr>
            <w:tcW w:w="2820" w:type="dxa"/>
            <w:vAlign w:val="bottom"/>
          </w:tcPr>
          <w:p>
            <w:pPr>
              <w:spacing w:after="0"/>
              <w:rPr>
                <w:sz w:val="2"/>
                <w:szCs w:val="2"/>
                <w:color w:val="auto"/>
              </w:rPr>
            </w:pPr>
          </w:p>
        </w:tc>
        <w:tc>
          <w:tcPr>
            <w:tcW w:w="2260" w:type="dxa"/>
            <w:vAlign w:val="bottom"/>
            <w:gridSpan w:val="7"/>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2340" w:type="dxa"/>
            <w:vAlign w:val="bottom"/>
            <w:gridSpan w:val="9"/>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r>
      <w:tr>
        <w:trPr>
          <w:trHeight w:val="270"/>
        </w:trPr>
        <w:tc>
          <w:tcPr>
            <w:tcW w:w="160" w:type="dxa"/>
            <w:vAlign w:val="bottom"/>
            <w:tcBorders>
              <w:left w:val="single" w:sz="8" w:color="auto"/>
            </w:tcBorders>
          </w:tcPr>
          <w:p>
            <w:pPr>
              <w:spacing w:after="0"/>
              <w:rPr>
                <w:sz w:val="23"/>
                <w:szCs w:val="23"/>
                <w:color w:val="auto"/>
              </w:rPr>
            </w:pPr>
          </w:p>
        </w:tc>
        <w:tc>
          <w:tcPr>
            <w:tcW w:w="2820" w:type="dxa"/>
            <w:vAlign w:val="bottom"/>
            <w:shd w:val="clear" w:color="auto" w:fill="E5FFFF"/>
          </w:tcPr>
          <w:p>
            <w:pPr>
              <w:spacing w:after="0"/>
              <w:rPr>
                <w:sz w:val="20"/>
                <w:szCs w:val="20"/>
                <w:color w:val="auto"/>
              </w:rPr>
            </w:pPr>
            <w:r>
              <w:rPr>
                <w:rFonts w:ascii="Arial" w:cs="Arial" w:eastAsia="Arial" w:hAnsi="Arial"/>
                <w:sz w:val="19"/>
                <w:szCs w:val="19"/>
                <w:color w:val="auto"/>
              </w:rPr>
              <w:t>R. Mina</w:t>
            </w:r>
          </w:p>
        </w:tc>
        <w:tc>
          <w:tcPr>
            <w:tcW w:w="20" w:type="dxa"/>
            <w:vAlign w:val="bottom"/>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12,000</w:t>
            </w:r>
          </w:p>
        </w:tc>
        <w:tc>
          <w:tcPr>
            <w:tcW w:w="20" w:type="dxa"/>
            <w:vAlign w:val="bottom"/>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80" w:type="dxa"/>
            <w:vAlign w:val="bottom"/>
            <w:tcBorders>
              <w:right w:val="single" w:sz="8" w:color="E5FFFF"/>
            </w:tcBorders>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24,289</w:t>
            </w:r>
          </w:p>
        </w:tc>
        <w:tc>
          <w:tcPr>
            <w:tcW w:w="20" w:type="dxa"/>
            <w:vAlign w:val="bottom"/>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75,000</w:t>
            </w:r>
          </w:p>
        </w:tc>
        <w:tc>
          <w:tcPr>
            <w:tcW w:w="20" w:type="dxa"/>
            <w:vAlign w:val="bottom"/>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right w:val="single" w:sz="8" w:color="E5FFFF"/>
            </w:tcBorders>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29"/>
              <w:spacing w:after="0"/>
              <w:rPr>
                <w:sz w:val="20"/>
                <w:szCs w:val="20"/>
                <w:color w:val="auto"/>
              </w:rPr>
            </w:pPr>
            <w:r>
              <w:rPr>
                <w:rFonts w:ascii="Arial" w:cs="Arial" w:eastAsia="Arial" w:hAnsi="Arial"/>
                <w:sz w:val="19"/>
                <w:szCs w:val="19"/>
                <w:color w:val="auto"/>
              </w:rPr>
              <w:t>1,654,500</w:t>
            </w:r>
          </w:p>
        </w:tc>
        <w:tc>
          <w:tcPr>
            <w:tcW w:w="260" w:type="dxa"/>
            <w:vAlign w:val="bottom"/>
            <w:tcBorders>
              <w:right w:val="single" w:sz="8" w:color="auto"/>
            </w:tcBorders>
          </w:tcPr>
          <w:p>
            <w:pPr>
              <w:spacing w:after="0"/>
              <w:rPr>
                <w:sz w:val="23"/>
                <w:szCs w:val="23"/>
                <w:color w:val="auto"/>
              </w:rPr>
            </w:pPr>
          </w:p>
        </w:tc>
      </w:tr>
      <w:tr>
        <w:trPr>
          <w:trHeight w:val="274"/>
        </w:trPr>
        <w:tc>
          <w:tcPr>
            <w:tcW w:w="160" w:type="dxa"/>
            <w:vAlign w:val="bottom"/>
            <w:tcBorders>
              <w:left w:val="single" w:sz="8" w:color="auto"/>
            </w:tcBorders>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19"/>
                <w:szCs w:val="19"/>
                <w:color w:val="auto"/>
              </w:rPr>
              <w:t>R. Halls</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0" w:type="dxa"/>
            <w:vAlign w:val="bottom"/>
            <w:gridSpan w:val="5"/>
          </w:tcPr>
          <w:p>
            <w:pPr>
              <w:jc w:val="right"/>
              <w:ind w:right="62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9"/>
                <w:szCs w:val="19"/>
                <w:color w:val="auto"/>
              </w:rPr>
              <w:t>—</w:t>
            </w:r>
          </w:p>
        </w:tc>
      </w:tr>
      <w:tr>
        <w:trPr>
          <w:trHeight w:val="23"/>
        </w:trPr>
        <w:tc>
          <w:tcPr>
            <w:tcW w:w="160" w:type="dxa"/>
            <w:vAlign w:val="bottom"/>
            <w:tcBorders>
              <w:left w:val="single" w:sz="8" w:color="auto"/>
            </w:tcBorders>
          </w:tcPr>
          <w:p>
            <w:pPr>
              <w:spacing w:after="0"/>
              <w:rPr>
                <w:sz w:val="2"/>
                <w:szCs w:val="2"/>
                <w:color w:val="auto"/>
              </w:rPr>
            </w:pPr>
          </w:p>
        </w:tc>
        <w:tc>
          <w:tcPr>
            <w:tcW w:w="2820" w:type="dxa"/>
            <w:vAlign w:val="bottom"/>
          </w:tcPr>
          <w:p>
            <w:pPr>
              <w:spacing w:after="0"/>
              <w:rPr>
                <w:sz w:val="2"/>
                <w:szCs w:val="2"/>
                <w:color w:val="auto"/>
              </w:rPr>
            </w:pPr>
          </w:p>
        </w:tc>
        <w:tc>
          <w:tcPr>
            <w:tcW w:w="2260" w:type="dxa"/>
            <w:vAlign w:val="bottom"/>
            <w:gridSpan w:val="7"/>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2340" w:type="dxa"/>
            <w:vAlign w:val="bottom"/>
            <w:gridSpan w:val="9"/>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r>
      <w:tr>
        <w:trPr>
          <w:trHeight w:val="270"/>
        </w:trPr>
        <w:tc>
          <w:tcPr>
            <w:tcW w:w="160" w:type="dxa"/>
            <w:vAlign w:val="bottom"/>
            <w:tcBorders>
              <w:left w:val="single" w:sz="8" w:color="auto"/>
            </w:tcBorders>
          </w:tcPr>
          <w:p>
            <w:pPr>
              <w:spacing w:after="0"/>
              <w:rPr>
                <w:sz w:val="23"/>
                <w:szCs w:val="23"/>
                <w:color w:val="auto"/>
              </w:rPr>
            </w:pPr>
          </w:p>
        </w:tc>
        <w:tc>
          <w:tcPr>
            <w:tcW w:w="2820" w:type="dxa"/>
            <w:vAlign w:val="bottom"/>
            <w:shd w:val="clear" w:color="auto" w:fill="E5FFFF"/>
          </w:tcPr>
          <w:p>
            <w:pPr>
              <w:spacing w:after="0"/>
              <w:rPr>
                <w:sz w:val="20"/>
                <w:szCs w:val="20"/>
                <w:color w:val="auto"/>
              </w:rPr>
            </w:pPr>
            <w:r>
              <w:rPr>
                <w:rFonts w:ascii="Arial" w:cs="Arial" w:eastAsia="Arial" w:hAnsi="Arial"/>
                <w:sz w:val="19"/>
                <w:szCs w:val="19"/>
                <w:color w:val="auto"/>
              </w:rPr>
              <w:t>G. Bahler</w:t>
            </w:r>
          </w:p>
        </w:tc>
        <w:tc>
          <w:tcPr>
            <w:tcW w:w="20" w:type="dxa"/>
            <w:vAlign w:val="bottom"/>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12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15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25,000</w:t>
            </w:r>
          </w:p>
        </w:tc>
        <w:tc>
          <w:tcPr>
            <w:tcW w:w="20" w:type="dxa"/>
            <w:vAlign w:val="bottom"/>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80" w:type="dxa"/>
            <w:vAlign w:val="bottom"/>
            <w:tcBorders>
              <w:right w:val="single" w:sz="8" w:color="E5FFFF"/>
            </w:tcBorders>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7,434</w:t>
            </w:r>
          </w:p>
        </w:tc>
        <w:tc>
          <w:tcPr>
            <w:tcW w:w="20" w:type="dxa"/>
            <w:vAlign w:val="bottom"/>
          </w:tcPr>
          <w:p>
            <w:pPr>
              <w:spacing w:after="0"/>
              <w:rPr>
                <w:sz w:val="23"/>
                <w:szCs w:val="23"/>
                <w:color w:val="auto"/>
              </w:rPr>
            </w:pPr>
          </w:p>
        </w:tc>
        <w:tc>
          <w:tcPr>
            <w:tcW w:w="14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15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30,000</w:t>
            </w:r>
          </w:p>
        </w:tc>
        <w:tc>
          <w:tcPr>
            <w:tcW w:w="20" w:type="dxa"/>
            <w:vAlign w:val="bottom"/>
          </w:tcPr>
          <w:p>
            <w:pPr>
              <w:spacing w:after="0"/>
              <w:rPr>
                <w:sz w:val="23"/>
                <w:szCs w:val="23"/>
                <w:color w:val="auto"/>
              </w:rPr>
            </w:pPr>
          </w:p>
        </w:tc>
        <w:tc>
          <w:tcPr>
            <w:tcW w:w="200" w:type="dxa"/>
            <w:vAlign w:val="bottom"/>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Borders>
              <w:right w:val="single" w:sz="8" w:color="E5FFFF"/>
            </w:tcBorders>
            <w:shd w:val="clear" w:color="auto" w:fill="E5FFFF"/>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shd w:val="clear" w:color="auto" w:fill="E5FFFF"/>
          </w:tcPr>
          <w:p>
            <w:pPr>
              <w:spacing w:after="0"/>
              <w:rPr>
                <w:sz w:val="23"/>
                <w:szCs w:val="23"/>
                <w:color w:val="auto"/>
              </w:rPr>
            </w:pPr>
          </w:p>
        </w:tc>
        <w:tc>
          <w:tcPr>
            <w:tcW w:w="1140" w:type="dxa"/>
            <w:vAlign w:val="bottom"/>
            <w:shd w:val="clear" w:color="auto" w:fill="E5FFFF"/>
          </w:tcPr>
          <w:p>
            <w:pPr>
              <w:jc w:val="right"/>
              <w:ind w:right="29"/>
              <w:spacing w:after="0"/>
              <w:rPr>
                <w:sz w:val="20"/>
                <w:szCs w:val="20"/>
                <w:color w:val="auto"/>
              </w:rPr>
            </w:pPr>
            <w:r>
              <w:rPr>
                <w:rFonts w:ascii="Arial" w:cs="Arial" w:eastAsia="Arial" w:hAnsi="Arial"/>
                <w:sz w:val="19"/>
                <w:szCs w:val="19"/>
                <w:color w:val="auto"/>
              </w:rPr>
              <w:t>661,800</w:t>
            </w:r>
          </w:p>
        </w:tc>
        <w:tc>
          <w:tcPr>
            <w:tcW w:w="260" w:type="dxa"/>
            <w:vAlign w:val="bottom"/>
            <w:tcBorders>
              <w:right w:val="single" w:sz="8" w:color="auto"/>
            </w:tcBorders>
          </w:tcPr>
          <w:p>
            <w:pPr>
              <w:spacing w:after="0"/>
              <w:rPr>
                <w:sz w:val="23"/>
                <w:szCs w:val="23"/>
                <w:color w:val="auto"/>
              </w:rPr>
            </w:pPr>
          </w:p>
        </w:tc>
      </w:tr>
      <w:tr>
        <w:trPr>
          <w:trHeight w:val="226"/>
        </w:trPr>
        <w:tc>
          <w:tcPr>
            <w:tcW w:w="160" w:type="dxa"/>
            <w:vAlign w:val="bottom"/>
            <w:tcBorders>
              <w:left w:val="single" w:sz="8" w:color="auto"/>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r>
      <w:tr>
        <w:trPr>
          <w:trHeight w:val="338"/>
        </w:trPr>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80" w:type="dxa"/>
            <w:vAlign w:val="bottom"/>
            <w:gridSpan w:val="11"/>
          </w:tcPr>
          <w:p>
            <w:pPr>
              <w:jc w:val="right"/>
              <w:ind w:right="40"/>
              <w:spacing w:after="0"/>
              <w:rPr>
                <w:sz w:val="20"/>
                <w:szCs w:val="20"/>
                <w:color w:val="auto"/>
              </w:rPr>
            </w:pPr>
            <w:r>
              <w:rPr>
                <w:rFonts w:ascii="Arial" w:cs="Arial" w:eastAsia="Arial" w:hAnsi="Arial"/>
                <w:sz w:val="19"/>
                <w:szCs w:val="19"/>
                <w:color w:val="auto"/>
              </w:rPr>
              <w:t>35</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2"/>
        </w:trPr>
        <w:tc>
          <w:tcPr>
            <w:tcW w:w="1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2" w:name="page43"/>
    <w:bookmarkEnd w:id="42"/>
    <w:p>
      <w:pPr>
        <w:jc w:val="center"/>
        <w:ind w:right="-159"/>
        <w:spacing w:after="0"/>
        <w:rPr>
          <w:sz w:val="20"/>
          <w:szCs w:val="20"/>
          <w:color w:val="auto"/>
        </w:rPr>
      </w:pPr>
      <w:r>
        <w:rPr>
          <w:rFonts w:ascii="Arial" w:cs="Arial" w:eastAsia="Arial" w:hAnsi="Arial"/>
          <w:sz w:val="19"/>
          <w:szCs w:val="19"/>
          <w:b w:val="1"/>
          <w:bCs w:val="1"/>
          <w:color w:val="auto"/>
        </w:rPr>
        <w:t>EMPLOYMENT AGREEMENTS</w:t>
      </w:r>
    </w:p>
    <w:p>
      <w:pPr>
        <w:spacing w:after="0" w:line="125"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9"/>
          <w:szCs w:val="19"/>
          <w:color w:val="auto"/>
        </w:rPr>
        <w:t>We have employment agreements with each of the named executive officers, and we describe the material terms of each of these agreements below. Information on potential payments and benefits on termination of the agreements is described under the section “Potential Payments upon Termination or Change in Control” beginning on Page 39.</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9"/>
          <w:szCs w:val="19"/>
          <w:b w:val="1"/>
          <w:bCs w:val="1"/>
          <w:i w:val="1"/>
          <w:iCs w:val="1"/>
          <w:color w:val="auto"/>
        </w:rPr>
        <w:t>Matthew D. Serra</w:t>
      </w:r>
    </w:p>
    <w:p>
      <w:pPr>
        <w:spacing w:after="0" w:line="173" w:lineRule="exact"/>
        <w:rPr>
          <w:sz w:val="20"/>
          <w:szCs w:val="20"/>
          <w:color w:val="auto"/>
        </w:rPr>
      </w:pPr>
    </w:p>
    <w:p>
      <w:pPr>
        <w:ind w:left="180" w:hanging="159"/>
        <w:spacing w:after="0"/>
        <w:tabs>
          <w:tab w:leader="none" w:pos="180" w:val="left"/>
        </w:tabs>
        <w:numPr>
          <w:ilvl w:val="0"/>
          <w:numId w:val="33"/>
        </w:numPr>
        <w:rPr>
          <w:rFonts w:ascii="Arial" w:cs="Arial" w:eastAsia="Arial" w:hAnsi="Arial"/>
          <w:sz w:val="19"/>
          <w:szCs w:val="19"/>
          <w:color w:val="auto"/>
        </w:rPr>
      </w:pPr>
      <w:r>
        <w:rPr>
          <w:rFonts w:ascii="Arial" w:cs="Arial" w:eastAsia="Arial" w:hAnsi="Arial"/>
          <w:sz w:val="19"/>
          <w:szCs w:val="19"/>
          <w:b w:val="1"/>
          <w:bCs w:val="1"/>
          <w:i w:val="1"/>
          <w:iCs w:val="1"/>
          <w:color w:val="auto"/>
        </w:rPr>
        <w:t>Position</w:t>
      </w:r>
      <w:r>
        <w:rPr>
          <w:rFonts w:ascii="Arial" w:cs="Arial" w:eastAsia="Arial" w:hAnsi="Arial"/>
          <w:sz w:val="19"/>
          <w:szCs w:val="19"/>
          <w:color w:val="auto"/>
        </w:rPr>
        <w:t>. We have an agreement with Mr. Serra in his position as Chairman of the Board, President and Chief Executive Officer.</w:t>
      </w:r>
    </w:p>
    <w:p>
      <w:pPr>
        <w:spacing w:after="0" w:line="132" w:lineRule="exact"/>
        <w:rPr>
          <w:rFonts w:ascii="Arial" w:cs="Arial" w:eastAsia="Arial" w:hAnsi="Arial"/>
          <w:sz w:val="19"/>
          <w:szCs w:val="19"/>
          <w:color w:val="auto"/>
        </w:rPr>
      </w:pPr>
    </w:p>
    <w:p>
      <w:pPr>
        <w:ind w:left="180" w:hanging="159"/>
        <w:spacing w:after="0"/>
        <w:tabs>
          <w:tab w:leader="none" w:pos="180" w:val="left"/>
        </w:tabs>
        <w:numPr>
          <w:ilvl w:val="0"/>
          <w:numId w:val="33"/>
        </w:numPr>
        <w:rPr>
          <w:rFonts w:ascii="Arial" w:cs="Arial" w:eastAsia="Arial" w:hAnsi="Arial"/>
          <w:sz w:val="19"/>
          <w:szCs w:val="19"/>
          <w:color w:val="auto"/>
        </w:rPr>
      </w:pPr>
      <w:r>
        <w:rPr>
          <w:rFonts w:ascii="Arial" w:cs="Arial" w:eastAsia="Arial" w:hAnsi="Arial"/>
          <w:sz w:val="19"/>
          <w:szCs w:val="19"/>
          <w:b w:val="1"/>
          <w:bCs w:val="1"/>
          <w:i w:val="1"/>
          <w:iCs w:val="1"/>
          <w:color w:val="auto"/>
        </w:rPr>
        <w:t>Term</w:t>
      </w:r>
      <w:r>
        <w:rPr>
          <w:rFonts w:ascii="Arial" w:cs="Arial" w:eastAsia="Arial" w:hAnsi="Arial"/>
          <w:sz w:val="19"/>
          <w:szCs w:val="19"/>
          <w:color w:val="auto"/>
        </w:rPr>
        <w:t>. The term of this agreement began on October 1, 2006 and ends on January 30, 2010.</w:t>
      </w:r>
    </w:p>
    <w:p>
      <w:pPr>
        <w:spacing w:after="0" w:line="132" w:lineRule="exact"/>
        <w:rPr>
          <w:rFonts w:ascii="Arial" w:cs="Arial" w:eastAsia="Arial" w:hAnsi="Arial"/>
          <w:sz w:val="19"/>
          <w:szCs w:val="19"/>
          <w:color w:val="auto"/>
        </w:rPr>
      </w:pPr>
    </w:p>
    <w:p>
      <w:pPr>
        <w:ind w:left="180" w:right="80" w:hanging="159"/>
        <w:spacing w:after="0" w:line="259" w:lineRule="auto"/>
        <w:tabs>
          <w:tab w:leader="none" w:pos="180" w:val="left"/>
        </w:tabs>
        <w:numPr>
          <w:ilvl w:val="0"/>
          <w:numId w:val="33"/>
        </w:numPr>
        <w:rPr>
          <w:rFonts w:ascii="Arial" w:cs="Arial" w:eastAsia="Arial" w:hAnsi="Arial"/>
          <w:sz w:val="19"/>
          <w:szCs w:val="19"/>
          <w:color w:val="auto"/>
        </w:rPr>
      </w:pPr>
      <w:r>
        <w:rPr>
          <w:rFonts w:ascii="Arial" w:cs="Arial" w:eastAsia="Arial" w:hAnsi="Arial"/>
          <w:sz w:val="19"/>
          <w:szCs w:val="19"/>
          <w:b w:val="1"/>
          <w:bCs w:val="1"/>
          <w:i w:val="1"/>
          <w:iCs w:val="1"/>
          <w:color w:val="auto"/>
        </w:rPr>
        <w:t>Base Salary and Bonus</w:t>
      </w:r>
      <w:r>
        <w:rPr>
          <w:rFonts w:ascii="Arial" w:cs="Arial" w:eastAsia="Arial" w:hAnsi="Arial"/>
          <w:sz w:val="19"/>
          <w:szCs w:val="19"/>
          <w:color w:val="auto"/>
        </w:rPr>
        <w:t>. We pay Mr. Serra an annual base salary of not less than $1.5 million during the term of the agreement. Mr. Serra’s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annual bonus at target is 125 percent of his base salary, and his bonus at target under the long-term bonus plan for any three-year performance period is 90 percent of his base salary at the beginning of the performance period. If Mr. Serra remains employed by Foot Locker through the end of his contract term, he will be eligible for a pro-rata payout under the Long-Term Bonus Plan for the 2008-2010 and 2009-2011 performance periods, provided the performance goals are met.</w:t>
      </w:r>
    </w:p>
    <w:p>
      <w:pPr>
        <w:spacing w:after="0" w:line="90" w:lineRule="exact"/>
        <w:rPr>
          <w:rFonts w:ascii="Arial" w:cs="Arial" w:eastAsia="Arial" w:hAnsi="Arial"/>
          <w:sz w:val="19"/>
          <w:szCs w:val="19"/>
          <w:color w:val="auto"/>
        </w:rPr>
      </w:pPr>
    </w:p>
    <w:p>
      <w:pPr>
        <w:ind w:left="180" w:right="180" w:hanging="159"/>
        <w:spacing w:after="0" w:line="267" w:lineRule="auto"/>
        <w:tabs>
          <w:tab w:leader="none" w:pos="180" w:val="left"/>
        </w:tabs>
        <w:numPr>
          <w:ilvl w:val="0"/>
          <w:numId w:val="33"/>
        </w:numPr>
        <w:rPr>
          <w:rFonts w:ascii="Arial" w:cs="Arial" w:eastAsia="Arial" w:hAnsi="Arial"/>
          <w:sz w:val="19"/>
          <w:szCs w:val="19"/>
          <w:color w:val="auto"/>
        </w:rPr>
      </w:pPr>
      <w:r>
        <w:rPr>
          <w:rFonts w:ascii="Arial" w:cs="Arial" w:eastAsia="Arial" w:hAnsi="Arial"/>
          <w:sz w:val="19"/>
          <w:szCs w:val="19"/>
          <w:b w:val="1"/>
          <w:bCs w:val="1"/>
          <w:i w:val="1"/>
          <w:iCs w:val="1"/>
          <w:color w:val="auto"/>
        </w:rPr>
        <w:t>Benefit Plans and Perquisites</w:t>
      </w:r>
      <w:r>
        <w:rPr>
          <w:rFonts w:ascii="Arial" w:cs="Arial" w:eastAsia="Arial" w:hAnsi="Arial"/>
          <w:sz w:val="19"/>
          <w:szCs w:val="19"/>
          <w:color w:val="auto"/>
        </w:rPr>
        <w:t>. Mr. Serra is entitled to participate in all bonus, incentive, and equity plans offered to senior executives. He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also eligible to participate in all pension, welfare, and fringe benefit plans and perquisites offered to senior executives. The benefits and perquisites available to Mr. Serra include:</w:t>
      </w:r>
    </w:p>
    <w:p>
      <w:pPr>
        <w:spacing w:after="0" w:line="135"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color w:val="auto"/>
        </w:rPr>
        <w:t>Company-paid life insurance in the amount of his annual base salary;</w:t>
      </w:r>
    </w:p>
    <w:p>
      <w:pPr>
        <w:spacing w:after="0" w:line="51"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color w:val="auto"/>
        </w:rPr>
        <w:t>Long-term disability insurance coverage of $25,000 per month;</w:t>
      </w:r>
    </w:p>
    <w:p>
      <w:pPr>
        <w:spacing w:after="0" w:line="51"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color w:val="auto"/>
        </w:rPr>
        <w:t>Annual out-of-pocket medical expense reimbursement of up to $20,000;</w:t>
      </w:r>
    </w:p>
    <w:p>
      <w:pPr>
        <w:spacing w:after="0" w:line="51"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color w:val="auto"/>
        </w:rPr>
        <w:t>Financial planning expenses of up to $7,500 annually;</w:t>
      </w:r>
    </w:p>
    <w:p>
      <w:pPr>
        <w:spacing w:after="0" w:line="51"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color w:val="auto"/>
        </w:rPr>
        <w:t>Reimbursement of dues and membership fees of one private club of up to $20,000 annually;</w:t>
      </w:r>
    </w:p>
    <w:p>
      <w:pPr>
        <w:spacing w:after="0" w:line="51"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color w:val="auto"/>
        </w:rPr>
        <w:t>Automobile expense allowance of up to $40,000 annually and the services of a driver;</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Although Mr. Serra is eligible for these perquisites under his agreement, he chose not to receive some of these benefits in 2007.</w:t>
      </w:r>
    </w:p>
    <w:p>
      <w:pPr>
        <w:spacing w:after="0" w:line="173" w:lineRule="exact"/>
        <w:rPr>
          <w:sz w:val="20"/>
          <w:szCs w:val="20"/>
          <w:color w:val="auto"/>
        </w:rPr>
      </w:pPr>
    </w:p>
    <w:p>
      <w:pPr>
        <w:ind w:left="180" w:right="280" w:hanging="159"/>
        <w:spacing w:after="0" w:line="283" w:lineRule="auto"/>
        <w:tabs>
          <w:tab w:leader="none" w:pos="180" w:val="left"/>
        </w:tabs>
        <w:numPr>
          <w:ilvl w:val="0"/>
          <w:numId w:val="34"/>
        </w:numPr>
        <w:rPr>
          <w:rFonts w:ascii="Arial" w:cs="Arial" w:eastAsia="Arial" w:hAnsi="Arial"/>
          <w:sz w:val="19"/>
          <w:szCs w:val="19"/>
          <w:color w:val="auto"/>
        </w:rPr>
      </w:pPr>
      <w:r>
        <w:rPr>
          <w:rFonts w:ascii="Arial" w:cs="Arial" w:eastAsia="Arial" w:hAnsi="Arial"/>
          <w:sz w:val="19"/>
          <w:szCs w:val="19"/>
          <w:b w:val="1"/>
          <w:bCs w:val="1"/>
          <w:i w:val="1"/>
          <w:iCs w:val="1"/>
          <w:color w:val="auto"/>
        </w:rPr>
        <w:t>Non-Compete Provision</w:t>
      </w:r>
      <w:r>
        <w:rPr>
          <w:rFonts w:ascii="Arial" w:cs="Arial" w:eastAsia="Arial" w:hAnsi="Arial"/>
          <w:sz w:val="19"/>
          <w:szCs w:val="19"/>
          <w:color w:val="auto"/>
        </w:rPr>
        <w:t>. Mr. Serra’s agreement provides that he may not compete with Foot Locker or solicit our employees for two years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following the termination of his employment agreement.</w:t>
      </w:r>
    </w:p>
    <w:p>
      <w:pPr>
        <w:spacing w:after="0" w:line="65" w:lineRule="exact"/>
        <w:rPr>
          <w:rFonts w:ascii="Arial" w:cs="Arial" w:eastAsia="Arial" w:hAnsi="Arial"/>
          <w:sz w:val="19"/>
          <w:szCs w:val="19"/>
          <w:color w:val="auto"/>
        </w:rPr>
      </w:pPr>
    </w:p>
    <w:p>
      <w:pPr>
        <w:ind w:left="180" w:hanging="159"/>
        <w:spacing w:after="0"/>
        <w:tabs>
          <w:tab w:leader="none" w:pos="180" w:val="left"/>
        </w:tabs>
        <w:numPr>
          <w:ilvl w:val="0"/>
          <w:numId w:val="34"/>
        </w:numPr>
        <w:rPr>
          <w:rFonts w:ascii="Arial" w:cs="Arial" w:eastAsia="Arial" w:hAnsi="Arial"/>
          <w:sz w:val="19"/>
          <w:szCs w:val="19"/>
          <w:color w:val="auto"/>
        </w:rPr>
      </w:pPr>
      <w:r>
        <w:rPr>
          <w:rFonts w:ascii="Arial" w:cs="Arial" w:eastAsia="Arial" w:hAnsi="Arial"/>
          <w:sz w:val="19"/>
          <w:szCs w:val="19"/>
          <w:b w:val="1"/>
          <w:bCs w:val="1"/>
          <w:i w:val="1"/>
          <w:iCs w:val="1"/>
          <w:color w:val="auto"/>
        </w:rPr>
        <w:t>Certain Defined Terms in the Agreement</w:t>
      </w:r>
      <w:r>
        <w:rPr>
          <w:rFonts w:ascii="Arial" w:cs="Arial" w:eastAsia="Arial" w:hAnsi="Arial"/>
          <w:sz w:val="19"/>
          <w:szCs w:val="19"/>
          <w:color w:val="auto"/>
        </w:rPr>
        <w:t>:</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Mr. Serra:</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8"/>
          <w:szCs w:val="18"/>
          <w:color w:val="auto"/>
        </w:rPr>
        <w:t>willfully and continuously fails to perform his duties;</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8"/>
          <w:szCs w:val="18"/>
          <w:color w:val="auto"/>
        </w:rPr>
        <w:t>willfully takes part in misconduct that significantly harms the Company;</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willfully breaches his employment agreement and does not correct the breach; or</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8"/>
          <w:szCs w:val="18"/>
          <w:color w:val="auto"/>
        </w:rPr>
        <w:t>is convicted of a felony (other than a traffic violation).</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any of the following:</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a person or group makes a tender offer to purchase at least 20 percent of the Company’s outstanding stock;</w:t>
      </w:r>
    </w:p>
    <w:p>
      <w:pPr>
        <w:spacing w:after="0" w:line="51" w:lineRule="exact"/>
        <w:rPr>
          <w:sz w:val="20"/>
          <w:szCs w:val="20"/>
          <w:color w:val="auto"/>
        </w:rPr>
      </w:pPr>
    </w:p>
    <w:p>
      <w:pPr>
        <w:jc w:val="right"/>
        <w:ind w:left="1100" w:right="120" w:hanging="581"/>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the Company merges with another company or sells all (or substantially all) of its assets. This event would exclude, for example, mergers (or similar transactions) in which no one becomes the beneficial owner of more than 20 percent of the stock outstanding;</w:t>
      </w: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the acquisition of 20 percent or more of the outstanding stock. (The Board may, however, increase this threshold up to 40 percent);</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shareholder approval of a plan of liquidation, dissolution, or sale of substantially all of the assets of the Company; or</w:t>
      </w: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0" w:right="399" w:bottom="1440" w:gutter="0" w:footer="0" w:header="0"/>
        </w:sectPr>
      </w:pPr>
    </w:p>
    <w:bookmarkStart w:id="43" w:name="page44"/>
    <w:bookmarkEnd w:id="43"/>
    <w:p>
      <w:pPr>
        <w:jc w:val="both"/>
        <w:ind w:left="1100" w:right="180" w:hanging="581"/>
        <w:spacing w:after="0" w:line="262" w:lineRule="auto"/>
        <w:rPr>
          <w:sz w:val="20"/>
          <w:szCs w:val="20"/>
          <w:color w:val="auto"/>
        </w:rPr>
      </w:pPr>
      <w:r>
        <w:rPr>
          <w:rFonts w:ascii="Arial" w:cs="Arial" w:eastAsia="Arial" w:hAnsi="Arial"/>
          <w:sz w:val="19"/>
          <w:szCs w:val="19"/>
          <w:color w:val="auto"/>
        </w:rPr>
        <w:t>—during any period of two consecutive years, the directors at the start of the period, plus any new director whose election or nomination for election was approved by at least two-thirds of the directors then remaining on the Board who either were directors at the beginning of the period or whose election or nomination was approved in this manner, do not comprise at least a majority of the Board.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xml:space="preserve"> means:</w:t>
      </w:r>
    </w:p>
    <w:p>
      <w:pPr>
        <w:spacing w:after="0" w:line="85" w:lineRule="exact"/>
        <w:rPr>
          <w:sz w:val="20"/>
          <w:szCs w:val="20"/>
          <w:color w:val="auto"/>
        </w:rPr>
      </w:pPr>
    </w:p>
    <w:p>
      <w:pPr>
        <w:ind w:left="1100" w:right="200" w:hanging="581"/>
        <w:spacing w:after="0" w:line="283" w:lineRule="auto"/>
        <w:rPr>
          <w:sz w:val="20"/>
          <w:szCs w:val="20"/>
          <w:color w:val="auto"/>
        </w:rPr>
      </w:pPr>
      <w:r>
        <w:rPr>
          <w:rFonts w:ascii="Arial" w:cs="Arial" w:eastAsia="Arial" w:hAnsi="Arial"/>
          <w:sz w:val="19"/>
          <w:szCs w:val="19"/>
          <w:color w:val="auto"/>
        </w:rPr>
        <w:t>—Mr. Serra is incapacitated due to physical or mental illness and, as a result, has not performed his duties on a full-time basis for six months and does not return to perform his duties after the Company gives him notice.</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 following a Change in Control,</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a material demotion or reduction in Mr. Serra’s authority or responsibility (except temporarily because of illness or other absence);</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a decrease in his base salary rate;</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a reduction in his annual bonus classification level;</w:t>
      </w:r>
    </w:p>
    <w:p>
      <w:pPr>
        <w:spacing w:after="0" w:line="51" w:lineRule="exact"/>
        <w:rPr>
          <w:sz w:val="20"/>
          <w:szCs w:val="20"/>
          <w:color w:val="auto"/>
        </w:rPr>
      </w:pPr>
    </w:p>
    <w:p>
      <w:pPr>
        <w:ind w:left="1100" w:right="340" w:hanging="581"/>
        <w:spacing w:after="0" w:line="267" w:lineRule="auto"/>
        <w:rPr>
          <w:sz w:val="20"/>
          <w:szCs w:val="20"/>
          <w:color w:val="auto"/>
        </w:rPr>
      </w:pPr>
      <w:r>
        <w:rPr>
          <w:rFonts w:ascii="Arial" w:cs="Arial" w:eastAsia="Arial" w:hAnsi="Arial"/>
          <w:sz w:val="19"/>
          <w:szCs w:val="19"/>
          <w:color w:val="auto"/>
        </w:rPr>
        <w:t>—failure to continue the benefit plans and programs that apply to him, or the reduction of his benefits, without providing substitute comparable plans, programs and benefits;</w:t>
      </w: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failure by a successor company to confirm in writing that it will assume the Company’s obligations under the agreement; or</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the Company breaches a material provision of the agreement and does not correct the breach.</w:t>
      </w:r>
    </w:p>
    <w:p>
      <w:pPr>
        <w:spacing w:after="0" w:line="254" w:lineRule="exact"/>
        <w:rPr>
          <w:sz w:val="20"/>
          <w:szCs w:val="20"/>
          <w:color w:val="auto"/>
        </w:rPr>
      </w:pPr>
    </w:p>
    <w:p>
      <w:pPr>
        <w:ind w:left="2960"/>
        <w:spacing w:after="0"/>
        <w:rPr>
          <w:sz w:val="20"/>
          <w:szCs w:val="20"/>
          <w:color w:val="auto"/>
        </w:rPr>
      </w:pPr>
      <w:r>
        <w:rPr>
          <w:rFonts w:ascii="Arial" w:cs="Arial" w:eastAsia="Arial" w:hAnsi="Arial"/>
          <w:sz w:val="19"/>
          <w:szCs w:val="19"/>
          <w:b w:val="1"/>
          <w:bCs w:val="1"/>
          <w:i w:val="1"/>
          <w:iCs w:val="1"/>
          <w:color w:val="auto"/>
        </w:rPr>
        <w:t>Richard Mina, Ronald J. Halls, Gary M. Bahler, Robert W. McHugh</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Position/Term/Base Salary</w:t>
      </w:r>
      <w:r>
        <w:rPr>
          <w:rFonts w:ascii="Arial" w:cs="Arial" w:eastAsia="Arial" w:hAnsi="Arial"/>
          <w:sz w:val="19"/>
          <w:szCs w:val="19"/>
          <w:color w:val="auto"/>
        </w:rPr>
        <w:t>. We have employment agreements with these executives in their current positions, as follows: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40" w:type="dxa"/>
            <w:vAlign w:val="bottom"/>
          </w:tcPr>
          <w:p>
            <w:pPr>
              <w:ind w:left="160"/>
              <w:spacing w:after="0"/>
              <w:rPr>
                <w:sz w:val="20"/>
                <w:szCs w:val="20"/>
                <w:color w:val="auto"/>
              </w:rPr>
            </w:pPr>
            <w:r>
              <w:rPr>
                <w:rFonts w:ascii="Arial" w:cs="Arial" w:eastAsia="Arial" w:hAnsi="Arial"/>
                <w:sz w:val="16"/>
                <w:szCs w:val="16"/>
                <w:b w:val="1"/>
                <w:bCs w:val="1"/>
                <w:color w:val="auto"/>
              </w:rPr>
              <w:t>Name</w:t>
            </w:r>
          </w:p>
        </w:tc>
        <w:tc>
          <w:tcPr>
            <w:tcW w:w="3740" w:type="dxa"/>
            <w:vAlign w:val="bottom"/>
          </w:tcPr>
          <w:p>
            <w:pPr>
              <w:ind w:left="1720"/>
              <w:spacing w:after="0"/>
              <w:rPr>
                <w:sz w:val="20"/>
                <w:szCs w:val="20"/>
                <w:color w:val="auto"/>
              </w:rPr>
            </w:pPr>
            <w:r>
              <w:rPr>
                <w:rFonts w:ascii="Arial" w:cs="Arial" w:eastAsia="Arial" w:hAnsi="Arial"/>
                <w:sz w:val="16"/>
                <w:szCs w:val="16"/>
                <w:b w:val="1"/>
                <w:bCs w:val="1"/>
                <w:color w:val="auto"/>
              </w:rPr>
              <w:t>Position</w:t>
            </w:r>
          </w:p>
        </w:tc>
        <w:tc>
          <w:tcPr>
            <w:tcW w:w="2880" w:type="dxa"/>
            <w:vAlign w:val="bottom"/>
          </w:tcPr>
          <w:p>
            <w:pPr>
              <w:ind w:left="960"/>
              <w:spacing w:after="0"/>
              <w:rPr>
                <w:sz w:val="20"/>
                <w:szCs w:val="20"/>
                <w:color w:val="auto"/>
              </w:rPr>
            </w:pPr>
            <w:r>
              <w:rPr>
                <w:rFonts w:ascii="Arial" w:cs="Arial" w:eastAsia="Arial" w:hAnsi="Arial"/>
                <w:sz w:val="16"/>
                <w:szCs w:val="16"/>
                <w:b w:val="1"/>
                <w:bCs w:val="1"/>
                <w:color w:val="auto"/>
              </w:rPr>
              <w:t>Term of Agreement</w:t>
            </w:r>
          </w:p>
        </w:tc>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88"/>
              </w:rPr>
              <w:t>2007 Base Salary Rate</w:t>
            </w:r>
          </w:p>
        </w:tc>
      </w:tr>
      <w:tr>
        <w:trPr>
          <w:trHeight w:val="49"/>
        </w:trPr>
        <w:tc>
          <w:tcPr>
            <w:tcW w:w="21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r>
      <w:tr>
        <w:trPr>
          <w:trHeight w:val="210"/>
        </w:trPr>
        <w:tc>
          <w:tcPr>
            <w:tcW w:w="2140" w:type="dxa"/>
            <w:vAlign w:val="bottom"/>
          </w:tcPr>
          <w:p>
            <w:pPr>
              <w:ind w:left="160"/>
              <w:spacing w:after="0"/>
              <w:rPr>
                <w:sz w:val="20"/>
                <w:szCs w:val="20"/>
                <w:color w:val="auto"/>
              </w:rPr>
            </w:pPr>
            <w:r>
              <w:rPr>
                <w:rFonts w:ascii="Arial" w:cs="Arial" w:eastAsia="Arial" w:hAnsi="Arial"/>
                <w:sz w:val="18"/>
                <w:szCs w:val="18"/>
                <w:color w:val="auto"/>
              </w:rPr>
              <w:t>R. Mina</w:t>
            </w:r>
          </w:p>
        </w:tc>
        <w:tc>
          <w:tcPr>
            <w:tcW w:w="3740" w:type="dxa"/>
            <w:vAlign w:val="bottom"/>
          </w:tcPr>
          <w:p>
            <w:pPr>
              <w:ind w:left="1120"/>
              <w:spacing w:after="0"/>
              <w:rPr>
                <w:sz w:val="20"/>
                <w:szCs w:val="20"/>
                <w:color w:val="auto"/>
              </w:rPr>
            </w:pPr>
            <w:r>
              <w:rPr>
                <w:rFonts w:ascii="Arial" w:cs="Arial" w:eastAsia="Arial" w:hAnsi="Arial"/>
                <w:sz w:val="18"/>
                <w:szCs w:val="18"/>
                <w:color w:val="auto"/>
              </w:rPr>
              <w:t>President and CEO,</w:t>
            </w:r>
          </w:p>
        </w:tc>
        <w:tc>
          <w:tcPr>
            <w:tcW w:w="2880" w:type="dxa"/>
            <w:vAlign w:val="bottom"/>
          </w:tcPr>
          <w:p>
            <w:pPr>
              <w:ind w:left="620"/>
              <w:spacing w:after="0"/>
              <w:rPr>
                <w:sz w:val="20"/>
                <w:szCs w:val="20"/>
                <w:color w:val="auto"/>
              </w:rPr>
            </w:pPr>
            <w:r>
              <w:rPr>
                <w:rFonts w:ascii="Arial" w:cs="Arial" w:eastAsia="Arial" w:hAnsi="Arial"/>
                <w:sz w:val="18"/>
                <w:szCs w:val="18"/>
                <w:color w:val="auto"/>
              </w:rPr>
              <w:t>May 1, 2009</w:t>
            </w:r>
          </w:p>
        </w:tc>
        <w:tc>
          <w:tcPr>
            <w:tcW w:w="2660" w:type="dxa"/>
            <w:vAlign w:val="bottom"/>
          </w:tcPr>
          <w:p>
            <w:pPr>
              <w:jc w:val="center"/>
              <w:spacing w:after="0"/>
              <w:rPr>
                <w:sz w:val="20"/>
                <w:szCs w:val="20"/>
                <w:color w:val="auto"/>
              </w:rPr>
            </w:pPr>
            <w:r>
              <w:rPr>
                <w:rFonts w:ascii="Arial" w:cs="Arial" w:eastAsia="Arial" w:hAnsi="Arial"/>
                <w:sz w:val="18"/>
                <w:szCs w:val="18"/>
                <w:color w:val="auto"/>
                <w:w w:val="87"/>
              </w:rPr>
              <w:t>$875,000</w:t>
            </w:r>
          </w:p>
        </w:tc>
      </w:tr>
      <w:tr>
        <w:trPr>
          <w:trHeight w:val="227"/>
        </w:trPr>
        <w:tc>
          <w:tcPr>
            <w:tcW w:w="2140" w:type="dxa"/>
            <w:vAlign w:val="bottom"/>
          </w:tcPr>
          <w:p>
            <w:pPr>
              <w:spacing w:after="0"/>
              <w:rPr>
                <w:sz w:val="19"/>
                <w:szCs w:val="19"/>
                <w:color w:val="auto"/>
              </w:rPr>
            </w:pPr>
          </w:p>
        </w:tc>
        <w:tc>
          <w:tcPr>
            <w:tcW w:w="3740" w:type="dxa"/>
            <w:vAlign w:val="bottom"/>
          </w:tcPr>
          <w:p>
            <w:pPr>
              <w:ind w:left="1120"/>
              <w:spacing w:after="0"/>
              <w:rPr>
                <w:sz w:val="20"/>
                <w:szCs w:val="20"/>
                <w:color w:val="auto"/>
              </w:rPr>
            </w:pPr>
            <w:r>
              <w:rPr>
                <w:rFonts w:ascii="Arial" w:cs="Arial" w:eastAsia="Arial" w:hAnsi="Arial"/>
                <w:sz w:val="18"/>
                <w:szCs w:val="18"/>
                <w:color w:val="auto"/>
              </w:rPr>
              <w:t>Foot Locker, Inc.–U.S.A.</w:t>
            </w:r>
          </w:p>
        </w:tc>
        <w:tc>
          <w:tcPr>
            <w:tcW w:w="28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56"/>
        </w:trPr>
        <w:tc>
          <w:tcPr>
            <w:tcW w:w="21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r>
      <w:tr>
        <w:trPr>
          <w:trHeight w:val="210"/>
        </w:trPr>
        <w:tc>
          <w:tcPr>
            <w:tcW w:w="2140" w:type="dxa"/>
            <w:vAlign w:val="bottom"/>
          </w:tcPr>
          <w:p>
            <w:pPr>
              <w:ind w:left="160"/>
              <w:spacing w:after="0"/>
              <w:rPr>
                <w:sz w:val="20"/>
                <w:szCs w:val="20"/>
                <w:color w:val="auto"/>
              </w:rPr>
            </w:pPr>
            <w:r>
              <w:rPr>
                <w:rFonts w:ascii="Arial" w:cs="Arial" w:eastAsia="Arial" w:hAnsi="Arial"/>
                <w:sz w:val="18"/>
                <w:szCs w:val="18"/>
                <w:color w:val="auto"/>
              </w:rPr>
              <w:t>R. Halls</w:t>
            </w:r>
          </w:p>
        </w:tc>
        <w:tc>
          <w:tcPr>
            <w:tcW w:w="3740" w:type="dxa"/>
            <w:vAlign w:val="bottom"/>
          </w:tcPr>
          <w:p>
            <w:pPr>
              <w:ind w:left="1120"/>
              <w:spacing w:after="0"/>
              <w:rPr>
                <w:sz w:val="20"/>
                <w:szCs w:val="20"/>
                <w:color w:val="auto"/>
              </w:rPr>
            </w:pPr>
            <w:r>
              <w:rPr>
                <w:rFonts w:ascii="Arial" w:cs="Arial" w:eastAsia="Arial" w:hAnsi="Arial"/>
                <w:sz w:val="18"/>
                <w:szCs w:val="18"/>
                <w:color w:val="auto"/>
              </w:rPr>
              <w:t>President and CEO,</w:t>
            </w:r>
          </w:p>
        </w:tc>
        <w:tc>
          <w:tcPr>
            <w:tcW w:w="2880" w:type="dxa"/>
            <w:vAlign w:val="bottom"/>
          </w:tcPr>
          <w:p>
            <w:pPr>
              <w:ind w:left="620"/>
              <w:spacing w:after="0"/>
              <w:rPr>
                <w:sz w:val="20"/>
                <w:szCs w:val="20"/>
                <w:color w:val="auto"/>
              </w:rPr>
            </w:pPr>
            <w:r>
              <w:rPr>
                <w:rFonts w:ascii="Arial" w:cs="Arial" w:eastAsia="Arial" w:hAnsi="Arial"/>
                <w:sz w:val="18"/>
                <w:szCs w:val="18"/>
                <w:color w:val="auto"/>
              </w:rPr>
              <w:t>May 1, 2009</w:t>
            </w:r>
          </w:p>
        </w:tc>
        <w:tc>
          <w:tcPr>
            <w:tcW w:w="2660" w:type="dxa"/>
            <w:vAlign w:val="bottom"/>
          </w:tcPr>
          <w:p>
            <w:pPr>
              <w:jc w:val="center"/>
              <w:spacing w:after="0"/>
              <w:rPr>
                <w:sz w:val="20"/>
                <w:szCs w:val="20"/>
                <w:color w:val="auto"/>
              </w:rPr>
            </w:pPr>
            <w:r>
              <w:rPr>
                <w:rFonts w:ascii="Arial" w:cs="Arial" w:eastAsia="Arial" w:hAnsi="Arial"/>
                <w:sz w:val="18"/>
                <w:szCs w:val="18"/>
                <w:color w:val="auto"/>
                <w:w w:val="87"/>
              </w:rPr>
              <w:t>$650,000</w:t>
            </w:r>
          </w:p>
        </w:tc>
      </w:tr>
      <w:tr>
        <w:trPr>
          <w:trHeight w:val="216"/>
        </w:trPr>
        <w:tc>
          <w:tcPr>
            <w:tcW w:w="2140" w:type="dxa"/>
            <w:vAlign w:val="bottom"/>
          </w:tcPr>
          <w:p>
            <w:pPr>
              <w:spacing w:after="0"/>
              <w:rPr>
                <w:sz w:val="18"/>
                <w:szCs w:val="18"/>
                <w:color w:val="auto"/>
              </w:rPr>
            </w:pPr>
          </w:p>
        </w:tc>
        <w:tc>
          <w:tcPr>
            <w:tcW w:w="3740" w:type="dxa"/>
            <w:vAlign w:val="bottom"/>
          </w:tcPr>
          <w:p>
            <w:pPr>
              <w:ind w:left="1120"/>
              <w:spacing w:after="0"/>
              <w:rPr>
                <w:sz w:val="20"/>
                <w:szCs w:val="20"/>
                <w:color w:val="auto"/>
              </w:rPr>
            </w:pPr>
            <w:r>
              <w:rPr>
                <w:rFonts w:ascii="Arial" w:cs="Arial" w:eastAsia="Arial" w:hAnsi="Arial"/>
                <w:sz w:val="18"/>
                <w:szCs w:val="18"/>
                <w:color w:val="auto"/>
              </w:rPr>
              <w:t>Foot Locker, Inc.–</w:t>
            </w:r>
          </w:p>
        </w:tc>
        <w:tc>
          <w:tcPr>
            <w:tcW w:w="288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27"/>
        </w:trPr>
        <w:tc>
          <w:tcPr>
            <w:tcW w:w="2140" w:type="dxa"/>
            <w:vAlign w:val="bottom"/>
          </w:tcPr>
          <w:p>
            <w:pPr>
              <w:spacing w:after="0"/>
              <w:rPr>
                <w:sz w:val="19"/>
                <w:szCs w:val="19"/>
                <w:color w:val="auto"/>
              </w:rPr>
            </w:pPr>
          </w:p>
        </w:tc>
        <w:tc>
          <w:tcPr>
            <w:tcW w:w="3740" w:type="dxa"/>
            <w:vAlign w:val="bottom"/>
          </w:tcPr>
          <w:p>
            <w:pPr>
              <w:ind w:left="1120"/>
              <w:spacing w:after="0"/>
              <w:rPr>
                <w:sz w:val="20"/>
                <w:szCs w:val="20"/>
                <w:color w:val="auto"/>
              </w:rPr>
            </w:pPr>
            <w:r>
              <w:rPr>
                <w:rFonts w:ascii="Arial" w:cs="Arial" w:eastAsia="Arial" w:hAnsi="Arial"/>
                <w:sz w:val="18"/>
                <w:szCs w:val="18"/>
                <w:color w:val="auto"/>
              </w:rPr>
              <w:t>International</w:t>
            </w:r>
          </w:p>
        </w:tc>
        <w:tc>
          <w:tcPr>
            <w:tcW w:w="28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56"/>
        </w:trPr>
        <w:tc>
          <w:tcPr>
            <w:tcW w:w="21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r>
      <w:tr>
        <w:trPr>
          <w:trHeight w:val="210"/>
        </w:trPr>
        <w:tc>
          <w:tcPr>
            <w:tcW w:w="2140" w:type="dxa"/>
            <w:vAlign w:val="bottom"/>
          </w:tcPr>
          <w:p>
            <w:pPr>
              <w:ind w:left="160"/>
              <w:spacing w:after="0"/>
              <w:rPr>
                <w:sz w:val="20"/>
                <w:szCs w:val="20"/>
                <w:color w:val="auto"/>
              </w:rPr>
            </w:pPr>
            <w:r>
              <w:rPr>
                <w:rFonts w:ascii="Arial" w:cs="Arial" w:eastAsia="Arial" w:hAnsi="Arial"/>
                <w:sz w:val="18"/>
                <w:szCs w:val="18"/>
                <w:color w:val="auto"/>
              </w:rPr>
              <w:t>G. Bahler</w:t>
            </w:r>
          </w:p>
        </w:tc>
        <w:tc>
          <w:tcPr>
            <w:tcW w:w="3740" w:type="dxa"/>
            <w:vAlign w:val="bottom"/>
          </w:tcPr>
          <w:p>
            <w:pPr>
              <w:ind w:left="1120"/>
              <w:spacing w:after="0"/>
              <w:rPr>
                <w:sz w:val="20"/>
                <w:szCs w:val="20"/>
                <w:color w:val="auto"/>
              </w:rPr>
            </w:pPr>
            <w:r>
              <w:rPr>
                <w:rFonts w:ascii="Arial" w:cs="Arial" w:eastAsia="Arial" w:hAnsi="Arial"/>
                <w:sz w:val="18"/>
                <w:szCs w:val="18"/>
                <w:color w:val="auto"/>
              </w:rPr>
              <w:t>Senior VP, General Counsel</w:t>
            </w:r>
          </w:p>
        </w:tc>
        <w:tc>
          <w:tcPr>
            <w:tcW w:w="2880" w:type="dxa"/>
            <w:vAlign w:val="bottom"/>
          </w:tcPr>
          <w:p>
            <w:pPr>
              <w:ind w:left="620"/>
              <w:spacing w:after="0"/>
              <w:rPr>
                <w:sz w:val="20"/>
                <w:szCs w:val="20"/>
                <w:color w:val="auto"/>
              </w:rPr>
            </w:pPr>
            <w:r>
              <w:rPr>
                <w:rFonts w:ascii="Arial" w:cs="Arial" w:eastAsia="Arial" w:hAnsi="Arial"/>
                <w:sz w:val="18"/>
                <w:szCs w:val="18"/>
                <w:color w:val="auto"/>
              </w:rPr>
              <w:t>December 31, 2008</w:t>
            </w:r>
          </w:p>
        </w:tc>
        <w:tc>
          <w:tcPr>
            <w:tcW w:w="2660" w:type="dxa"/>
            <w:vAlign w:val="bottom"/>
          </w:tcPr>
          <w:p>
            <w:pPr>
              <w:jc w:val="center"/>
              <w:spacing w:after="0"/>
              <w:rPr>
                <w:sz w:val="20"/>
                <w:szCs w:val="20"/>
                <w:color w:val="auto"/>
              </w:rPr>
            </w:pPr>
            <w:r>
              <w:rPr>
                <w:rFonts w:ascii="Arial" w:cs="Arial" w:eastAsia="Arial" w:hAnsi="Arial"/>
                <w:sz w:val="18"/>
                <w:szCs w:val="18"/>
                <w:color w:val="auto"/>
                <w:w w:val="87"/>
              </w:rPr>
              <w:t>$525,000</w:t>
            </w:r>
          </w:p>
        </w:tc>
      </w:tr>
      <w:tr>
        <w:trPr>
          <w:trHeight w:val="227"/>
        </w:trPr>
        <w:tc>
          <w:tcPr>
            <w:tcW w:w="2140" w:type="dxa"/>
            <w:vAlign w:val="bottom"/>
          </w:tcPr>
          <w:p>
            <w:pPr>
              <w:spacing w:after="0"/>
              <w:rPr>
                <w:sz w:val="19"/>
                <w:szCs w:val="19"/>
                <w:color w:val="auto"/>
              </w:rPr>
            </w:pPr>
          </w:p>
        </w:tc>
        <w:tc>
          <w:tcPr>
            <w:tcW w:w="3740" w:type="dxa"/>
            <w:vAlign w:val="bottom"/>
          </w:tcPr>
          <w:p>
            <w:pPr>
              <w:ind w:left="1120"/>
              <w:spacing w:after="0"/>
              <w:rPr>
                <w:sz w:val="20"/>
                <w:szCs w:val="20"/>
                <w:color w:val="auto"/>
              </w:rPr>
            </w:pPr>
            <w:r>
              <w:rPr>
                <w:rFonts w:ascii="Arial" w:cs="Arial" w:eastAsia="Arial" w:hAnsi="Arial"/>
                <w:sz w:val="18"/>
                <w:szCs w:val="18"/>
                <w:color w:val="auto"/>
              </w:rPr>
              <w:t>and Secretary</w:t>
            </w:r>
          </w:p>
        </w:tc>
        <w:tc>
          <w:tcPr>
            <w:tcW w:w="28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56"/>
        </w:trPr>
        <w:tc>
          <w:tcPr>
            <w:tcW w:w="21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r>
      <w:tr>
        <w:trPr>
          <w:trHeight w:val="221"/>
        </w:trPr>
        <w:tc>
          <w:tcPr>
            <w:tcW w:w="2140" w:type="dxa"/>
            <w:vAlign w:val="bottom"/>
          </w:tcPr>
          <w:p>
            <w:pPr>
              <w:ind w:left="160"/>
              <w:spacing w:after="0"/>
              <w:rPr>
                <w:sz w:val="20"/>
                <w:szCs w:val="20"/>
                <w:color w:val="auto"/>
              </w:rPr>
            </w:pPr>
            <w:r>
              <w:rPr>
                <w:rFonts w:ascii="Arial" w:cs="Arial" w:eastAsia="Arial" w:hAnsi="Arial"/>
                <w:sz w:val="18"/>
                <w:szCs w:val="18"/>
                <w:color w:val="auto"/>
              </w:rPr>
              <w:t>R. McHugh</w:t>
            </w:r>
          </w:p>
        </w:tc>
        <w:tc>
          <w:tcPr>
            <w:tcW w:w="3740" w:type="dxa"/>
            <w:vAlign w:val="bottom"/>
          </w:tcPr>
          <w:p>
            <w:pPr>
              <w:ind w:left="1120"/>
              <w:spacing w:after="0"/>
              <w:rPr>
                <w:sz w:val="20"/>
                <w:szCs w:val="20"/>
                <w:color w:val="auto"/>
              </w:rPr>
            </w:pPr>
            <w:r>
              <w:rPr>
                <w:rFonts w:ascii="Arial" w:cs="Arial" w:eastAsia="Arial" w:hAnsi="Arial"/>
                <w:sz w:val="18"/>
                <w:szCs w:val="18"/>
                <w:color w:val="auto"/>
              </w:rPr>
              <w:t>Senior VP and CFO</w:t>
            </w:r>
          </w:p>
        </w:tc>
        <w:tc>
          <w:tcPr>
            <w:tcW w:w="2880" w:type="dxa"/>
            <w:vAlign w:val="bottom"/>
          </w:tcPr>
          <w:p>
            <w:pPr>
              <w:ind w:left="620"/>
              <w:spacing w:after="0"/>
              <w:rPr>
                <w:sz w:val="20"/>
                <w:szCs w:val="20"/>
                <w:color w:val="auto"/>
              </w:rPr>
            </w:pPr>
            <w:r>
              <w:rPr>
                <w:rFonts w:ascii="Arial" w:cs="Arial" w:eastAsia="Arial" w:hAnsi="Arial"/>
                <w:sz w:val="18"/>
                <w:szCs w:val="18"/>
                <w:color w:val="auto"/>
              </w:rPr>
              <w:t>December 31, 2008</w:t>
            </w:r>
          </w:p>
        </w:tc>
        <w:tc>
          <w:tcPr>
            <w:tcW w:w="2660" w:type="dxa"/>
            <w:vAlign w:val="bottom"/>
          </w:tcPr>
          <w:p>
            <w:pPr>
              <w:jc w:val="center"/>
              <w:spacing w:after="0"/>
              <w:rPr>
                <w:sz w:val="20"/>
                <w:szCs w:val="20"/>
                <w:color w:val="auto"/>
              </w:rPr>
            </w:pPr>
            <w:r>
              <w:rPr>
                <w:rFonts w:ascii="Arial" w:cs="Arial" w:eastAsia="Arial" w:hAnsi="Arial"/>
                <w:sz w:val="18"/>
                <w:szCs w:val="18"/>
                <w:color w:val="auto"/>
                <w:w w:val="87"/>
              </w:rPr>
              <w:t>$525,000</w:t>
            </w:r>
          </w:p>
        </w:tc>
      </w:tr>
      <w:tr>
        <w:trPr>
          <w:trHeight w:val="43"/>
        </w:trPr>
        <w:tc>
          <w:tcPr>
            <w:tcW w:w="214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r>
    </w:tbl>
    <w:p>
      <w:pPr>
        <w:spacing w:after="0" w:line="149" w:lineRule="exact"/>
        <w:rPr>
          <w:sz w:val="20"/>
          <w:szCs w:val="20"/>
          <w:color w:val="auto"/>
        </w:rPr>
      </w:pPr>
    </w:p>
    <w:p>
      <w:pPr>
        <w:ind w:left="180" w:right="120" w:hanging="159"/>
        <w:spacing w:after="0" w:line="283" w:lineRule="auto"/>
        <w:tabs>
          <w:tab w:leader="none" w:pos="180" w:val="left"/>
        </w:tabs>
        <w:numPr>
          <w:ilvl w:val="0"/>
          <w:numId w:val="40"/>
        </w:numPr>
        <w:rPr>
          <w:rFonts w:ascii="Arial" w:cs="Arial" w:eastAsia="Arial" w:hAnsi="Arial"/>
          <w:sz w:val="19"/>
          <w:szCs w:val="19"/>
          <w:color w:val="auto"/>
        </w:rPr>
      </w:pPr>
      <w:r>
        <w:rPr>
          <w:rFonts w:ascii="Arial" w:cs="Arial" w:eastAsia="Arial" w:hAnsi="Arial"/>
          <w:sz w:val="19"/>
          <w:szCs w:val="19"/>
          <w:b w:val="1"/>
          <w:bCs w:val="1"/>
          <w:i w:val="1"/>
          <w:iCs w:val="1"/>
          <w:color w:val="auto"/>
        </w:rPr>
        <w:t>Term</w:t>
      </w:r>
      <w:r>
        <w:rPr>
          <w:rFonts w:ascii="Arial" w:cs="Arial" w:eastAsia="Arial" w:hAnsi="Arial"/>
          <w:sz w:val="19"/>
          <w:szCs w:val="19"/>
          <w:color w:val="auto"/>
        </w:rPr>
        <w:t>. The terms of the agreements will automatically be extended for another year unless notice of non-renewal is given prior to the expiration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date.</w:t>
      </w:r>
    </w:p>
    <w:p>
      <w:pPr>
        <w:spacing w:after="0" w:line="65" w:lineRule="exact"/>
        <w:rPr>
          <w:rFonts w:ascii="Arial" w:cs="Arial" w:eastAsia="Arial" w:hAnsi="Arial"/>
          <w:sz w:val="19"/>
          <w:szCs w:val="19"/>
          <w:color w:val="auto"/>
        </w:rPr>
      </w:pPr>
    </w:p>
    <w:p>
      <w:pPr>
        <w:ind w:left="180" w:right="380" w:hanging="159"/>
        <w:spacing w:after="0" w:line="283" w:lineRule="auto"/>
        <w:tabs>
          <w:tab w:leader="none" w:pos="180" w:val="left"/>
        </w:tabs>
        <w:numPr>
          <w:ilvl w:val="0"/>
          <w:numId w:val="40"/>
        </w:numPr>
        <w:rPr>
          <w:rFonts w:ascii="Arial" w:cs="Arial" w:eastAsia="Arial" w:hAnsi="Arial"/>
          <w:sz w:val="19"/>
          <w:szCs w:val="19"/>
          <w:color w:val="auto"/>
        </w:rPr>
      </w:pP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We pay these executives annual base salaries at rates not less than their salaries at the start of their agreements. The executives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base salaries for 2007 are shown in the table.</w:t>
      </w:r>
    </w:p>
    <w:p>
      <w:pPr>
        <w:spacing w:after="0" w:line="65" w:lineRule="exact"/>
        <w:rPr>
          <w:rFonts w:ascii="Arial" w:cs="Arial" w:eastAsia="Arial" w:hAnsi="Arial"/>
          <w:sz w:val="19"/>
          <w:szCs w:val="19"/>
          <w:color w:val="auto"/>
        </w:rPr>
      </w:pPr>
    </w:p>
    <w:p>
      <w:pPr>
        <w:ind w:left="180" w:right="20" w:hanging="159"/>
        <w:spacing w:after="0" w:line="267" w:lineRule="auto"/>
        <w:tabs>
          <w:tab w:leader="none" w:pos="180" w:val="left"/>
        </w:tabs>
        <w:numPr>
          <w:ilvl w:val="0"/>
          <w:numId w:val="40"/>
        </w:numPr>
        <w:rPr>
          <w:rFonts w:ascii="Arial" w:cs="Arial" w:eastAsia="Arial" w:hAnsi="Arial"/>
          <w:sz w:val="19"/>
          <w:szCs w:val="19"/>
          <w:color w:val="auto"/>
        </w:rPr>
      </w:pPr>
      <w:r>
        <w:rPr>
          <w:rFonts w:ascii="Arial" w:cs="Arial" w:eastAsia="Arial" w:hAnsi="Arial"/>
          <w:sz w:val="19"/>
          <w:szCs w:val="19"/>
          <w:b w:val="1"/>
          <w:bCs w:val="1"/>
          <w:i w:val="1"/>
          <w:iCs w:val="1"/>
          <w:color w:val="auto"/>
        </w:rPr>
        <w:t>Benefit Plans and Perquisites</w:t>
      </w:r>
      <w:r>
        <w:rPr>
          <w:rFonts w:ascii="Arial" w:cs="Arial" w:eastAsia="Arial" w:hAnsi="Arial"/>
          <w:sz w:val="19"/>
          <w:szCs w:val="19"/>
          <w:color w:val="auto"/>
        </w:rPr>
        <w:t>. These executives are entitled to participate in all benefit plans and arrangements in effect at the start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including retirement plans, annual and long-term bonus plans, medical, dental, and disability plans, and any other plans subsequently offered to our senior executives.</w:t>
      </w:r>
    </w:p>
    <w:p>
      <w:pPr>
        <w:spacing w:after="0" w:line="81" w:lineRule="exact"/>
        <w:rPr>
          <w:rFonts w:ascii="Arial" w:cs="Arial" w:eastAsia="Arial" w:hAnsi="Arial"/>
          <w:sz w:val="19"/>
          <w:szCs w:val="19"/>
          <w:color w:val="auto"/>
        </w:rPr>
      </w:pPr>
    </w:p>
    <w:p>
      <w:pPr>
        <w:ind w:left="180" w:right="900" w:hanging="159"/>
        <w:spacing w:after="0" w:line="283" w:lineRule="auto"/>
        <w:tabs>
          <w:tab w:leader="none" w:pos="180" w:val="left"/>
        </w:tabs>
        <w:numPr>
          <w:ilvl w:val="0"/>
          <w:numId w:val="40"/>
        </w:numPr>
        <w:rPr>
          <w:rFonts w:ascii="Arial" w:cs="Arial" w:eastAsia="Arial" w:hAnsi="Arial"/>
          <w:sz w:val="19"/>
          <w:szCs w:val="19"/>
          <w:color w:val="auto"/>
        </w:rPr>
      </w:pPr>
      <w:r>
        <w:rPr>
          <w:rFonts w:ascii="Arial" w:cs="Arial" w:eastAsia="Arial" w:hAnsi="Arial"/>
          <w:sz w:val="19"/>
          <w:szCs w:val="19"/>
          <w:b w:val="1"/>
          <w:bCs w:val="1"/>
          <w:i w:val="1"/>
          <w:iCs w:val="1"/>
          <w:color w:val="auto"/>
        </w:rPr>
        <w:t>Spousal Travel</w:t>
      </w:r>
      <w:r>
        <w:rPr>
          <w:rFonts w:ascii="Arial" w:cs="Arial" w:eastAsia="Arial" w:hAnsi="Arial"/>
          <w:sz w:val="19"/>
          <w:szCs w:val="19"/>
          <w:color w:val="auto"/>
        </w:rPr>
        <w:t>. Mr. Halls’s agreement provides that his wife may accompany him on up to eight business trips each fiscal year at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Company’s expense. We gross up Mr. Halls’ salary for a percentage of this spousal travel expense.</w:t>
      </w:r>
    </w:p>
    <w:p>
      <w:pPr>
        <w:spacing w:after="0" w:line="65" w:lineRule="exact"/>
        <w:rPr>
          <w:rFonts w:ascii="Arial" w:cs="Arial" w:eastAsia="Arial" w:hAnsi="Arial"/>
          <w:sz w:val="19"/>
          <w:szCs w:val="19"/>
          <w:color w:val="auto"/>
        </w:rPr>
      </w:pPr>
    </w:p>
    <w:p>
      <w:pPr>
        <w:ind w:left="180" w:right="40" w:hanging="159"/>
        <w:spacing w:after="0" w:line="267" w:lineRule="auto"/>
        <w:tabs>
          <w:tab w:leader="none" w:pos="180" w:val="left"/>
        </w:tabs>
        <w:numPr>
          <w:ilvl w:val="0"/>
          <w:numId w:val="40"/>
        </w:numPr>
        <w:rPr>
          <w:rFonts w:ascii="Arial" w:cs="Arial" w:eastAsia="Arial" w:hAnsi="Arial"/>
          <w:sz w:val="19"/>
          <w:szCs w:val="19"/>
          <w:color w:val="auto"/>
        </w:rPr>
      </w:pPr>
      <w:r>
        <w:rPr>
          <w:rFonts w:ascii="Arial" w:cs="Arial" w:eastAsia="Arial" w:hAnsi="Arial"/>
          <w:sz w:val="19"/>
          <w:szCs w:val="19"/>
          <w:b w:val="1"/>
          <w:bCs w:val="1"/>
          <w:i w:val="1"/>
          <w:iCs w:val="1"/>
          <w:color w:val="auto"/>
        </w:rPr>
        <w:t>Non-Compete Provision</w:t>
      </w:r>
      <w:r>
        <w:rPr>
          <w:rFonts w:ascii="Arial" w:cs="Arial" w:eastAsia="Arial" w:hAnsi="Arial"/>
          <w:sz w:val="19"/>
          <w:szCs w:val="19"/>
          <w:color w:val="auto"/>
        </w:rPr>
        <w:t>. The executives’ agreements provide that they may not compete with Foot Locker or solicit our employees for a period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time following the termination of their employment agreements. Richard Mina and Ronald Halls have two-year non-compete agreements; Gary Bahler and Robert McHugh have one-year non-compete agreements.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44" w:name="page45"/>
    <w:bookmarkEnd w:id="44"/>
    <w:p>
      <w:pPr>
        <w:ind w:left="339" w:right="7820" w:hanging="339"/>
        <w:spacing w:after="0" w:line="588" w:lineRule="auto"/>
        <w:tabs>
          <w:tab w:leader="none" w:pos="157"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Certain Defined Terms in the Agreement: </w:t>
      </w: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the executive’s:</w:t>
      </w:r>
    </w:p>
    <w:p>
      <w:pPr>
        <w:spacing w:after="0" w:line="1" w:lineRule="exact"/>
        <w:rPr>
          <w:rFonts w:ascii="Arial" w:cs="Arial" w:eastAsia="Arial" w:hAnsi="Arial"/>
          <w:sz w:val="17"/>
          <w:szCs w:val="17"/>
          <w:color w:val="auto"/>
        </w:rPr>
      </w:pPr>
    </w:p>
    <w:p>
      <w:pPr>
        <w:ind w:left="499"/>
        <w:spacing w:after="0"/>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8"/>
          <w:szCs w:val="18"/>
          <w:color w:val="auto"/>
        </w:rPr>
        <w:t>refusal or willful failure to substantially perform his duties;</w:t>
      </w:r>
    </w:p>
    <w:p>
      <w:pPr>
        <w:spacing w:after="0" w:line="51" w:lineRule="exact"/>
        <w:rPr>
          <w:rFonts w:ascii="Arial" w:cs="Arial" w:eastAsia="Arial" w:hAnsi="Arial"/>
          <w:sz w:val="17"/>
          <w:szCs w:val="17"/>
          <w:color w:val="auto"/>
        </w:rPr>
      </w:pPr>
    </w:p>
    <w:p>
      <w:pPr>
        <w:ind w:left="499"/>
        <w:spacing w:after="0"/>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7"/>
          <w:szCs w:val="17"/>
          <w:color w:val="auto"/>
        </w:rPr>
        <w:t>dishonesty, willful misconduct, or fraud with regard to the Company’s business or assets;</w:t>
      </w:r>
    </w:p>
    <w:p>
      <w:pPr>
        <w:spacing w:after="0" w:line="51" w:lineRule="exact"/>
        <w:rPr>
          <w:rFonts w:ascii="Arial" w:cs="Arial" w:eastAsia="Arial" w:hAnsi="Arial"/>
          <w:sz w:val="17"/>
          <w:szCs w:val="17"/>
          <w:color w:val="auto"/>
        </w:rPr>
      </w:pPr>
    </w:p>
    <w:p>
      <w:pPr>
        <w:ind w:left="499"/>
        <w:spacing w:after="0"/>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7"/>
          <w:szCs w:val="17"/>
          <w:color w:val="auto"/>
        </w:rPr>
        <w:t>willful breach of his employment agreement and he does not correct the breach; or</w:t>
      </w:r>
    </w:p>
    <w:p>
      <w:pPr>
        <w:spacing w:after="0" w:line="51" w:lineRule="exact"/>
        <w:rPr>
          <w:rFonts w:ascii="Arial" w:cs="Arial" w:eastAsia="Arial" w:hAnsi="Arial"/>
          <w:sz w:val="17"/>
          <w:szCs w:val="17"/>
          <w:color w:val="auto"/>
        </w:rPr>
      </w:pPr>
    </w:p>
    <w:p>
      <w:pPr>
        <w:ind w:left="499"/>
        <w:spacing w:after="0"/>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8"/>
          <w:szCs w:val="18"/>
          <w:color w:val="auto"/>
        </w:rPr>
        <w:t>conviction of a felony (other than a traffic violation) or any crime involving moral turpitude.</w:t>
      </w:r>
    </w:p>
    <w:p>
      <w:pPr>
        <w:spacing w:after="0" w:line="140"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any of the following:</w:t>
      </w:r>
    </w:p>
    <w:p>
      <w:pPr>
        <w:spacing w:after="0" w:line="85" w:lineRule="exact"/>
        <w:rPr>
          <w:sz w:val="20"/>
          <w:szCs w:val="20"/>
          <w:color w:val="auto"/>
        </w:rPr>
      </w:pPr>
    </w:p>
    <w:p>
      <w:pPr>
        <w:ind w:left="499"/>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a person or group makes a tender offer to purchase at least 20 percent of the Company’s outstanding stock;</w:t>
      </w:r>
    </w:p>
    <w:p>
      <w:pPr>
        <w:spacing w:after="0" w:line="51" w:lineRule="exact"/>
        <w:rPr>
          <w:sz w:val="20"/>
          <w:szCs w:val="20"/>
          <w:color w:val="auto"/>
        </w:rPr>
      </w:pPr>
    </w:p>
    <w:p>
      <w:pPr>
        <w:ind w:left="1079" w:hanging="581"/>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the Company merges with another company or sells all (or substantially all) of its assets. This event excludes, for example, mergers (or similar transactions) in which no one becomes the beneficial owner of more than 20 percent of the stock outstanding;</w:t>
      </w:r>
    </w:p>
    <w:p>
      <w:pPr>
        <w:ind w:left="499"/>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the acquisition of 20 percent or more of the outstanding stock. (The Board may, however, increase this threshold up to 40 percent);</w:t>
      </w:r>
    </w:p>
    <w:p>
      <w:pPr>
        <w:spacing w:after="0" w:line="51" w:lineRule="exact"/>
        <w:rPr>
          <w:sz w:val="20"/>
          <w:szCs w:val="20"/>
          <w:color w:val="auto"/>
        </w:rPr>
      </w:pPr>
    </w:p>
    <w:p>
      <w:pPr>
        <w:ind w:left="499"/>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shareholder approval of a plan of liquidation, dissolution, or sale of substantially all of the assets of the Company; or</w:t>
      </w:r>
    </w:p>
    <w:p>
      <w:pPr>
        <w:spacing w:after="0" w:line="51" w:lineRule="exact"/>
        <w:rPr>
          <w:sz w:val="20"/>
          <w:szCs w:val="20"/>
          <w:color w:val="auto"/>
        </w:rPr>
      </w:pPr>
    </w:p>
    <w:p>
      <w:pPr>
        <w:jc w:val="both"/>
        <w:ind w:left="1079" w:right="80" w:hanging="581"/>
        <w:spacing w:after="0" w:line="262" w:lineRule="auto"/>
        <w:rPr>
          <w:sz w:val="20"/>
          <w:szCs w:val="20"/>
          <w:color w:val="auto"/>
        </w:rPr>
      </w:pPr>
      <w:r>
        <w:rPr>
          <w:rFonts w:ascii="Arial" w:cs="Arial" w:eastAsia="Arial" w:hAnsi="Arial"/>
          <w:sz w:val="19"/>
          <w:szCs w:val="19"/>
          <w:color w:val="auto"/>
        </w:rPr>
        <w:t>—during any period of two consecutive years, the directors at the start of the period, plus any new director whose election or nomination for election was approved by at least two-thirds of the directors then remaining on the Board who either were directors at the beginning of the period or whose election or nomination was approved in this manner, do not comprise at least a majority of the Board.</w:t>
      </w:r>
    </w:p>
    <w:p>
      <w:pPr>
        <w:spacing w:after="0" w:line="80"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xml:space="preserve"> means:</w:t>
      </w:r>
    </w:p>
    <w:p>
      <w:pPr>
        <w:spacing w:after="0" w:line="85" w:lineRule="exact"/>
        <w:rPr>
          <w:sz w:val="20"/>
          <w:szCs w:val="20"/>
          <w:color w:val="auto"/>
        </w:rPr>
      </w:pPr>
    </w:p>
    <w:p>
      <w:pPr>
        <w:ind w:left="1079" w:right="20" w:hanging="581"/>
        <w:spacing w:after="0" w:line="283" w:lineRule="auto"/>
        <w:rPr>
          <w:sz w:val="20"/>
          <w:szCs w:val="20"/>
          <w:color w:val="auto"/>
        </w:rPr>
      </w:pPr>
      <w:r>
        <w:rPr>
          <w:rFonts w:ascii="Arial" w:cs="Arial" w:eastAsia="Arial" w:hAnsi="Arial"/>
          <w:sz w:val="19"/>
          <w:szCs w:val="19"/>
          <w:color w:val="auto"/>
        </w:rPr>
        <w:t>—The executive is incapacitated due to physical or mental illness and, as a result, has not performed his duties on a full-time basis for six months, and does not return to perform his duties after the Company gives him notice.</w:t>
      </w:r>
    </w:p>
    <w:p>
      <w:pPr>
        <w:spacing w:after="0" w:line="59" w:lineRule="exact"/>
        <w:rPr>
          <w:sz w:val="20"/>
          <w:szCs w:val="20"/>
          <w:color w:val="auto"/>
        </w:rPr>
      </w:pPr>
    </w:p>
    <w:p>
      <w:pPr>
        <w:ind w:left="33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 means:</w:t>
      </w:r>
    </w:p>
    <w:p>
      <w:pPr>
        <w:spacing w:after="0" w:line="125" w:lineRule="exact"/>
        <w:rPr>
          <w:sz w:val="20"/>
          <w:szCs w:val="20"/>
          <w:color w:val="auto"/>
        </w:rPr>
      </w:pPr>
    </w:p>
    <w:p>
      <w:pPr>
        <w:ind w:left="339"/>
        <w:spacing w:after="0"/>
        <w:rPr>
          <w:sz w:val="20"/>
          <w:szCs w:val="20"/>
          <w:color w:val="auto"/>
        </w:rPr>
      </w:pPr>
      <w:r>
        <w:rPr>
          <w:rFonts w:ascii="Arial" w:cs="Arial" w:eastAsia="Arial" w:hAnsi="Arial"/>
          <w:sz w:val="19"/>
          <w:szCs w:val="19"/>
          <w:i w:val="1"/>
          <w:iCs w:val="1"/>
          <w:color w:val="auto"/>
        </w:rPr>
        <w:t>Prior to a Change in Control,</w:t>
      </w:r>
    </w:p>
    <w:p>
      <w:pPr>
        <w:spacing w:after="0" w:line="79" w:lineRule="exact"/>
        <w:rPr>
          <w:sz w:val="20"/>
          <w:szCs w:val="20"/>
          <w:color w:val="auto"/>
        </w:rPr>
      </w:pPr>
    </w:p>
    <w:p>
      <w:pPr>
        <w:ind w:left="1079" w:right="360" w:hanging="581"/>
        <w:spacing w:after="0" w:line="267" w:lineRule="auto"/>
        <w:rPr>
          <w:sz w:val="20"/>
          <w:szCs w:val="20"/>
          <w:color w:val="auto"/>
        </w:rPr>
      </w:pPr>
      <w:r>
        <w:rPr>
          <w:rFonts w:ascii="Arial" w:cs="Arial" w:eastAsia="Arial" w:hAnsi="Arial"/>
          <w:sz w:val="19"/>
          <w:szCs w:val="19"/>
          <w:color w:val="auto"/>
        </w:rPr>
        <w:t>—a reduction in base salary, other than an across-the-board reduction in senior executive salaries over a three-year period and the reduction is less than 20% of the executive’s salary from the beginning of the three-year period;</w:t>
      </w:r>
    </w:p>
    <w:p>
      <w:pPr>
        <w:ind w:left="499"/>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material change in the executive’s authority or responsibilities, except temporarily as a result of illness or other absence;</w:t>
      </w:r>
    </w:p>
    <w:p>
      <w:pPr>
        <w:spacing w:after="0" w:line="146" w:lineRule="exact"/>
        <w:rPr>
          <w:sz w:val="20"/>
          <w:szCs w:val="20"/>
          <w:color w:val="auto"/>
        </w:rPr>
      </w:pPr>
    </w:p>
    <w:p>
      <w:pPr>
        <w:ind w:left="339"/>
        <w:spacing w:after="0"/>
        <w:rPr>
          <w:sz w:val="20"/>
          <w:szCs w:val="20"/>
          <w:color w:val="auto"/>
        </w:rPr>
      </w:pPr>
      <w:r>
        <w:rPr>
          <w:rFonts w:ascii="Arial" w:cs="Arial" w:eastAsia="Arial" w:hAnsi="Arial"/>
          <w:sz w:val="19"/>
          <w:szCs w:val="19"/>
          <w:i w:val="1"/>
          <w:iCs w:val="1"/>
          <w:color w:val="auto"/>
        </w:rPr>
        <w:t>Following a Change in Control,</w:t>
      </w:r>
    </w:p>
    <w:p>
      <w:pPr>
        <w:spacing w:after="0" w:line="79" w:lineRule="exact"/>
        <w:rPr>
          <w:sz w:val="20"/>
          <w:szCs w:val="20"/>
          <w:color w:val="auto"/>
        </w:rPr>
      </w:pPr>
    </w:p>
    <w:p>
      <w:pPr>
        <w:ind w:left="499"/>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any reduction in base salary;</w:t>
      </w:r>
    </w:p>
    <w:p>
      <w:pPr>
        <w:spacing w:after="0" w:line="51" w:lineRule="exact"/>
        <w:rPr>
          <w:sz w:val="20"/>
          <w:szCs w:val="20"/>
          <w:color w:val="auto"/>
        </w:rPr>
      </w:pPr>
    </w:p>
    <w:p>
      <w:pPr>
        <w:ind w:left="1079" w:right="300" w:hanging="581"/>
        <w:spacing w:after="0" w:line="267" w:lineRule="auto"/>
        <w:rPr>
          <w:sz w:val="20"/>
          <w:szCs w:val="20"/>
          <w:color w:val="auto"/>
        </w:rPr>
      </w:pPr>
      <w:r>
        <w:rPr>
          <w:rFonts w:ascii="Arial" w:cs="Arial" w:eastAsia="Arial" w:hAnsi="Arial"/>
          <w:sz w:val="19"/>
          <w:szCs w:val="19"/>
          <w:color w:val="auto"/>
        </w:rPr>
        <w:t>—failure to continue the benefit plans and programs that apply to the executive, or the reduction of his benefits, without providing substitute comparable plans and benefits;</w:t>
      </w:r>
    </w:p>
    <w:p>
      <w:pPr>
        <w:ind w:left="499"/>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a material demotion or reduction in executive’s authority or responsibility (except temporarily because of illness or other absence);</w:t>
      </w:r>
    </w:p>
    <w:p>
      <w:pPr>
        <w:spacing w:after="0" w:line="146" w:lineRule="exact"/>
        <w:rPr>
          <w:sz w:val="20"/>
          <w:szCs w:val="20"/>
          <w:color w:val="auto"/>
        </w:rPr>
      </w:pPr>
    </w:p>
    <w:p>
      <w:pPr>
        <w:ind w:left="339"/>
        <w:spacing w:after="0"/>
        <w:rPr>
          <w:sz w:val="20"/>
          <w:szCs w:val="20"/>
          <w:color w:val="auto"/>
        </w:rPr>
      </w:pPr>
      <w:r>
        <w:rPr>
          <w:rFonts w:ascii="Arial" w:cs="Arial" w:eastAsia="Arial" w:hAnsi="Arial"/>
          <w:sz w:val="19"/>
          <w:szCs w:val="19"/>
          <w:i w:val="1"/>
          <w:iCs w:val="1"/>
          <w:color w:val="auto"/>
        </w:rPr>
        <w:t>At any time,</w:t>
      </w:r>
    </w:p>
    <w:p>
      <w:pPr>
        <w:spacing w:after="0" w:line="79" w:lineRule="exact"/>
        <w:rPr>
          <w:sz w:val="20"/>
          <w:szCs w:val="20"/>
          <w:color w:val="auto"/>
        </w:rPr>
      </w:pPr>
    </w:p>
    <w:p>
      <w:pPr>
        <w:ind w:left="1079" w:right="580" w:hanging="581"/>
        <w:spacing w:after="0" w:line="267" w:lineRule="auto"/>
        <w:rPr>
          <w:sz w:val="20"/>
          <w:szCs w:val="20"/>
          <w:color w:val="auto"/>
        </w:rPr>
      </w:pPr>
      <w:r>
        <w:rPr>
          <w:rFonts w:ascii="Arial" w:cs="Arial" w:eastAsia="Arial" w:hAnsi="Arial"/>
          <w:sz w:val="19"/>
          <w:szCs w:val="19"/>
          <w:color w:val="auto"/>
        </w:rPr>
        <w:t>—a reduction in the executive’s annual bonus classification level, other than in connection with a redesign that affects all other employees in the executive’s bonus level;</w:t>
      </w:r>
    </w:p>
    <w:p>
      <w:pPr>
        <w:ind w:left="499"/>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failure by a successor to the Company to confirm in writing that it will assume the Company’s obligations under the agreement.</w:t>
      </w:r>
    </w:p>
    <w:p>
      <w:pPr>
        <w:spacing w:after="0" w:line="133" w:lineRule="exact"/>
        <w:rPr>
          <w:sz w:val="20"/>
          <w:szCs w:val="20"/>
          <w:color w:val="auto"/>
        </w:rPr>
      </w:pPr>
    </w:p>
    <w:p>
      <w:pPr>
        <w:jc w:val="center"/>
        <w:ind w:right="-98"/>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150495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9"/>
          </w:cols>
          <w:pgMar w:left="261" w:top="50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9"/>
          <w:szCs w:val="19"/>
          <w:b w:val="1"/>
          <w:bCs w:val="1"/>
          <w:color w:val="auto"/>
        </w:rPr>
        <w:t>POTENTIAL PAYMENTS UPON TERMINATION OR CHANGE IN CONTROL</w:t>
      </w:r>
    </w:p>
    <w:p>
      <w:pPr>
        <w:spacing w:after="0" w:line="125" w:lineRule="exact"/>
        <w:rPr>
          <w:sz w:val="20"/>
          <w:szCs w:val="20"/>
          <w:color w:val="auto"/>
        </w:rPr>
      </w:pPr>
    </w:p>
    <w:p>
      <w:pPr>
        <w:jc w:val="both"/>
        <w:ind w:right="260" w:firstLine="357"/>
        <w:spacing w:after="0" w:line="262" w:lineRule="auto"/>
        <w:rPr>
          <w:sz w:val="20"/>
          <w:szCs w:val="20"/>
          <w:color w:val="auto"/>
        </w:rPr>
      </w:pPr>
      <w:r>
        <w:rPr>
          <w:rFonts w:ascii="Arial" w:cs="Arial" w:eastAsia="Arial" w:hAnsi="Arial"/>
          <w:sz w:val="19"/>
          <w:szCs w:val="19"/>
          <w:color w:val="auto"/>
        </w:rPr>
        <w:t>The executives’ employment agreements and certain of the plans and programs that executives participate in require the Company to pay compensation to the executives if their employment terminates in certain circumstances. The estimated amount of compensation that would be payable to the named executives following termination of their employment for various reasons is stated in the tables below. The information in the tables assumes a termination date of February 2, 2008.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MATTHEW D. SERRA</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320" w:type="dxa"/>
            <w:vAlign w:val="bottom"/>
            <w:tcBorders>
              <w:top w:val="single" w:sz="8" w:color="auto"/>
              <w:left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0"/>
              </w:rPr>
              <w:t>Accelerated</w:t>
            </w:r>
          </w:p>
        </w:tc>
        <w:tc>
          <w:tcPr>
            <w:tcW w:w="13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jc w:val="center"/>
              <w:ind w:left="49"/>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90"/>
              </w:rPr>
              <w:t>Tax</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0"/>
              </w:rPr>
              <w:t>Restricted</w:t>
            </w:r>
          </w:p>
        </w:tc>
        <w:tc>
          <w:tcPr>
            <w:tcW w:w="1340" w:type="dxa"/>
            <w:vAlign w:val="bottom"/>
          </w:tcPr>
          <w:p>
            <w:pPr>
              <w:spacing w:after="0"/>
              <w:rPr>
                <w:sz w:val="12"/>
                <w:szCs w:val="12"/>
                <w:color w:val="auto"/>
              </w:rPr>
            </w:pPr>
          </w:p>
        </w:tc>
        <w:tc>
          <w:tcPr>
            <w:tcW w:w="144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88"/>
              </w:rPr>
              <w:t>Gross-</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Reason for</w:t>
            </w:r>
          </w:p>
        </w:tc>
        <w:tc>
          <w:tcPr>
            <w:tcW w:w="130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88"/>
              </w:rPr>
              <w:t>Severance</w:t>
            </w:r>
          </w:p>
        </w:tc>
        <w:tc>
          <w:tcPr>
            <w:tcW w:w="15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2"/>
              </w:rPr>
              <w:t>Stock and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SERP</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5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Continuation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Outplacement</w:t>
            </w:r>
          </w:p>
        </w:tc>
        <w:tc>
          <w:tcPr>
            <w:tcW w:w="82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96"/>
              </w:rPr>
              <w:t>Up</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2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Termination</w:t>
            </w:r>
          </w:p>
        </w:tc>
        <w:tc>
          <w:tcPr>
            <w:tcW w:w="1300" w:type="dxa"/>
            <w:vAlign w:val="bottom"/>
          </w:tcPr>
          <w:p>
            <w:pPr>
              <w:jc w:val="center"/>
              <w:ind w:left="89"/>
              <w:spacing w:after="0"/>
              <w:rPr>
                <w:sz w:val="20"/>
                <w:szCs w:val="20"/>
                <w:color w:val="auto"/>
              </w:rPr>
            </w:pPr>
            <w:r>
              <w:rPr>
                <w:rFonts w:ascii="Arial" w:cs="Arial" w:eastAsia="Arial" w:hAnsi="Arial"/>
                <w:sz w:val="14"/>
                <w:szCs w:val="14"/>
                <w:b w:val="1"/>
                <w:bCs w:val="1"/>
                <w:color w:val="auto"/>
                <w:w w:val="92"/>
              </w:rPr>
              <w:t>Payment</w:t>
            </w:r>
          </w:p>
        </w:tc>
        <w:tc>
          <w:tcPr>
            <w:tcW w:w="1560" w:type="dxa"/>
            <w:vAlign w:val="bottom"/>
          </w:tcPr>
          <w:p>
            <w:pPr>
              <w:jc w:val="center"/>
              <w:ind w:left="29"/>
              <w:spacing w:after="0"/>
              <w:rPr>
                <w:sz w:val="20"/>
                <w:szCs w:val="20"/>
                <w:color w:val="auto"/>
              </w:rPr>
            </w:pPr>
            <w:r>
              <w:rPr>
                <w:rFonts w:ascii="Arial" w:cs="Arial" w:eastAsia="Arial" w:hAnsi="Arial"/>
                <w:sz w:val="14"/>
                <w:szCs w:val="14"/>
                <w:b w:val="1"/>
                <w:bCs w:val="1"/>
                <w:color w:val="auto"/>
                <w:w w:val="94"/>
              </w:rPr>
              <w:t>Options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Benefit</w:t>
            </w:r>
          </w:p>
        </w:tc>
        <w:tc>
          <w:tcPr>
            <w:tcW w:w="1440" w:type="dxa"/>
            <w:vAlign w:val="bottom"/>
          </w:tcPr>
          <w:p>
            <w:pPr>
              <w:jc w:val="center"/>
              <w:ind w:left="9"/>
              <w:spacing w:after="0"/>
              <w:rPr>
                <w:sz w:val="20"/>
                <w:szCs w:val="20"/>
                <w:color w:val="auto"/>
              </w:rPr>
            </w:pPr>
            <w:r>
              <w:rPr>
                <w:rFonts w:ascii="Arial" w:cs="Arial" w:eastAsia="Arial" w:hAnsi="Arial"/>
                <w:sz w:val="14"/>
                <w:szCs w:val="14"/>
                <w:b w:val="1"/>
                <w:bCs w:val="1"/>
                <w:color w:val="auto"/>
                <w:w w:val="91"/>
              </w:rPr>
              <w:t>Balance Plan</w:t>
            </w:r>
          </w:p>
        </w:tc>
        <w:tc>
          <w:tcPr>
            <w:tcW w:w="1500" w:type="dxa"/>
            <w:vAlign w:val="bottom"/>
          </w:tcPr>
          <w:p>
            <w:pPr>
              <w:ind w:left="280"/>
              <w:spacing w:after="0"/>
              <w:rPr>
                <w:sz w:val="20"/>
                <w:szCs w:val="20"/>
                <w:color w:val="auto"/>
              </w:rPr>
            </w:pPr>
            <w:r>
              <w:rPr>
                <w:rFonts w:ascii="Arial" w:cs="Arial" w:eastAsia="Arial" w:hAnsi="Arial"/>
                <w:sz w:val="14"/>
                <w:szCs w:val="14"/>
                <w:b w:val="1"/>
                <w:bCs w:val="1"/>
                <w:color w:val="auto"/>
              </w:rPr>
              <w:t>Health Benefits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820" w:type="dxa"/>
            <w:vAlign w:val="bottom"/>
          </w:tcPr>
          <w:p>
            <w:pPr>
              <w:jc w:val="center"/>
              <w:ind w:left="89"/>
              <w:spacing w:after="0"/>
              <w:rPr>
                <w:sz w:val="20"/>
                <w:szCs w:val="20"/>
                <w:color w:val="auto"/>
              </w:rPr>
            </w:pPr>
            <w:r>
              <w:rPr>
                <w:rFonts w:ascii="Arial" w:cs="Arial" w:eastAsia="Arial" w:hAnsi="Arial"/>
                <w:sz w:val="14"/>
                <w:szCs w:val="14"/>
                <w:b w:val="1"/>
                <w:bCs w:val="1"/>
                <w:color w:val="auto"/>
                <w:w w:val="92"/>
              </w:rPr>
              <w:t>Payment</w:t>
            </w:r>
          </w:p>
        </w:tc>
        <w:tc>
          <w:tcPr>
            <w:tcW w:w="760" w:type="dxa"/>
            <w:vAlign w:val="bottom"/>
            <w:tcBorders>
              <w:right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1320" w:type="dxa"/>
            <w:vAlign w:val="bottom"/>
            <w:tcBorders>
              <w:left w:val="single" w:sz="8" w:color="auto"/>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32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b w:val="1"/>
                <w:bCs w:val="1"/>
                <w:color w:val="auto"/>
              </w:rPr>
              <w:t>By Company</w:t>
            </w:r>
          </w:p>
        </w:tc>
        <w:tc>
          <w:tcPr>
            <w:tcW w:w="1300" w:type="dxa"/>
            <w:vAlign w:val="bottom"/>
          </w:tcPr>
          <w:p>
            <w:pPr>
              <w:jc w:val="center"/>
              <w:ind w:left="69"/>
              <w:spacing w:after="0" w:line="134" w:lineRule="exact"/>
              <w:rPr>
                <w:sz w:val="20"/>
                <w:szCs w:val="20"/>
                <w:color w:val="auto"/>
              </w:rPr>
            </w:pPr>
            <w:r>
              <w:rPr>
                <w:rFonts w:ascii="Arial" w:cs="Arial" w:eastAsia="Arial" w:hAnsi="Arial"/>
                <w:sz w:val="14"/>
                <w:szCs w:val="14"/>
                <w:b w:val="1"/>
                <w:bCs w:val="1"/>
                <w:color w:val="auto"/>
                <w:w w:val="86"/>
              </w:rPr>
              <w:t>Severance</w:t>
            </w:r>
            <w:r>
              <w:rPr>
                <w:rFonts w:ascii="Arial" w:cs="Arial" w:eastAsia="Arial" w:hAnsi="Arial"/>
                <w:sz w:val="14"/>
                <w:szCs w:val="14"/>
                <w:color w:val="auto"/>
                <w:w w:val="86"/>
              </w:rPr>
              <w:t>:</w:t>
            </w:r>
          </w:p>
        </w:tc>
        <w:tc>
          <w:tcPr>
            <w:tcW w:w="156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40" w:type="dxa"/>
            <w:vAlign w:val="bottom"/>
          </w:tcPr>
          <w:p>
            <w:pPr>
              <w:jc w:val="center"/>
              <w:spacing w:after="0" w:line="134" w:lineRule="exact"/>
              <w:rPr>
                <w:sz w:val="20"/>
                <w:szCs w:val="20"/>
                <w:color w:val="auto"/>
              </w:rPr>
            </w:pPr>
            <w:r>
              <w:rPr>
                <w:rFonts w:ascii="Arial" w:cs="Arial" w:eastAsia="Arial" w:hAnsi="Arial"/>
                <w:sz w:val="14"/>
                <w:szCs w:val="14"/>
                <w:color w:val="auto"/>
                <w:w w:val="91"/>
              </w:rPr>
              <w:t>$2,256,933</w:t>
            </w:r>
          </w:p>
        </w:tc>
        <w:tc>
          <w:tcPr>
            <w:tcW w:w="1440" w:type="dxa"/>
            <w:vAlign w:val="bottom"/>
          </w:tcPr>
          <w:p>
            <w:pPr>
              <w:jc w:val="center"/>
              <w:spacing w:after="0" w:line="134" w:lineRule="exact"/>
              <w:rPr>
                <w:sz w:val="20"/>
                <w:szCs w:val="20"/>
                <w:color w:val="auto"/>
              </w:rPr>
            </w:pPr>
            <w:r>
              <w:rPr>
                <w:rFonts w:ascii="Arial" w:cs="Arial" w:eastAsia="Arial" w:hAnsi="Arial"/>
                <w:sz w:val="14"/>
                <w:szCs w:val="14"/>
                <w:color w:val="auto"/>
                <w:w w:val="92"/>
              </w:rPr>
              <w:t>$383,799</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3"/>
              </w:rPr>
              <w:t>$7,500</w:t>
            </w:r>
          </w:p>
        </w:tc>
        <w:tc>
          <w:tcPr>
            <w:tcW w:w="1380" w:type="dxa"/>
            <w:vAlign w:val="bottom"/>
          </w:tcPr>
          <w:p>
            <w:pPr>
              <w:jc w:val="center"/>
              <w:spacing w:after="0" w:line="134" w:lineRule="exact"/>
              <w:rPr>
                <w:sz w:val="20"/>
                <w:szCs w:val="20"/>
                <w:color w:val="auto"/>
              </w:rPr>
            </w:pPr>
            <w:r>
              <w:rPr>
                <w:rFonts w:ascii="Arial" w:cs="Arial" w:eastAsia="Arial" w:hAnsi="Arial"/>
                <w:sz w:val="14"/>
                <w:szCs w:val="14"/>
                <w:color w:val="auto"/>
                <w:w w:val="90"/>
              </w:rPr>
              <w:t>$25,000</w:t>
            </w:r>
          </w:p>
        </w:tc>
        <w:tc>
          <w:tcPr>
            <w:tcW w:w="820" w:type="dxa"/>
            <w:vAlign w:val="bottom"/>
          </w:tcPr>
          <w:p>
            <w:pPr>
              <w:jc w:val="right"/>
              <w:ind w:right="189"/>
              <w:spacing w:after="0" w:line="134"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$7,592,310</w:t>
            </w: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Without</w:t>
            </w:r>
          </w:p>
        </w:tc>
        <w:tc>
          <w:tcPr>
            <w:tcW w:w="1300" w:type="dxa"/>
            <w:vAlign w:val="bottom"/>
          </w:tcPr>
          <w:p>
            <w:pPr>
              <w:jc w:val="center"/>
              <w:ind w:left="69"/>
              <w:spacing w:after="0" w:line="149" w:lineRule="exact"/>
              <w:rPr>
                <w:sz w:val="20"/>
                <w:szCs w:val="20"/>
                <w:color w:val="auto"/>
              </w:rPr>
            </w:pPr>
            <w:r>
              <w:rPr>
                <w:rFonts w:ascii="Arial" w:cs="Arial" w:eastAsia="Arial" w:hAnsi="Arial"/>
                <w:sz w:val="14"/>
                <w:szCs w:val="14"/>
                <w:color w:val="auto"/>
                <w:w w:val="91"/>
              </w:rPr>
              <w:t>$3,000,000</w:t>
            </w:r>
          </w:p>
        </w:tc>
        <w:tc>
          <w:tcPr>
            <w:tcW w:w="15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Stock</w:t>
            </w:r>
            <w:r>
              <w:rPr>
                <w:rFonts w:ascii="Arial" w:cs="Arial" w:eastAsia="Arial" w:hAnsi="Arial"/>
                <w:sz w:val="14"/>
                <w:szCs w:val="14"/>
                <w:color w:val="auto"/>
              </w:rPr>
              <w:t>:</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2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Cause</w:t>
            </w:r>
          </w:p>
        </w:tc>
        <w:tc>
          <w:tcPr>
            <w:tcW w:w="1300" w:type="dxa"/>
            <w:vAlign w:val="bottom"/>
          </w:tcPr>
          <w:p>
            <w:pPr>
              <w:spacing w:after="0"/>
              <w:rPr>
                <w:sz w:val="16"/>
                <w:szCs w:val="16"/>
                <w:color w:val="auto"/>
              </w:rPr>
            </w:pPr>
          </w:p>
        </w:tc>
        <w:tc>
          <w:tcPr>
            <w:tcW w:w="1560" w:type="dxa"/>
            <w:vAlign w:val="bottom"/>
          </w:tcPr>
          <w:p>
            <w:pPr>
              <w:jc w:val="right"/>
              <w:ind w:right="589"/>
              <w:spacing w:after="0"/>
              <w:rPr>
                <w:sz w:val="20"/>
                <w:szCs w:val="20"/>
                <w:color w:val="auto"/>
              </w:rPr>
            </w:pPr>
            <w:r>
              <w:rPr>
                <w:rFonts w:ascii="Arial" w:cs="Arial" w:eastAsia="Arial" w:hAnsi="Arial"/>
                <w:sz w:val="14"/>
                <w:szCs w:val="14"/>
                <w:color w:val="auto"/>
              </w:rPr>
              <w:t>$1,919,078</w:t>
            </w: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132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Or</w:t>
            </w:r>
          </w:p>
        </w:tc>
        <w:tc>
          <w:tcPr>
            <w:tcW w:w="1300" w:type="dxa"/>
            <w:vAlign w:val="bottom"/>
          </w:tcPr>
          <w:p>
            <w:pPr>
              <w:spacing w:after="0"/>
              <w:rPr>
                <w:sz w:val="24"/>
                <w:szCs w:val="24"/>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auto"/>
              </w:rPr>
              <w:t>Stock Options:</w:t>
            </w: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ind w:left="260"/>
              <w:spacing w:after="0" w:line="149" w:lineRule="exact"/>
              <w:rPr>
                <w:sz w:val="20"/>
                <w:szCs w:val="20"/>
                <w:color w:val="auto"/>
              </w:rPr>
            </w:pPr>
            <w:r>
              <w:rPr>
                <w:rFonts w:ascii="Arial" w:cs="Arial" w:eastAsia="Arial" w:hAnsi="Arial"/>
                <w:sz w:val="14"/>
                <w:szCs w:val="14"/>
                <w:color w:val="auto"/>
              </w:rPr>
              <w:t>No acceleration</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20" w:type="dxa"/>
            <w:vAlign w:val="bottom"/>
            <w:tcBorders>
              <w:lef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By Executive</w:t>
            </w:r>
          </w:p>
        </w:tc>
        <w:tc>
          <w:tcPr>
            <w:tcW w:w="1300" w:type="dxa"/>
            <w:vAlign w:val="bottom"/>
          </w:tcPr>
          <w:p>
            <w:pPr>
              <w:spacing w:after="0"/>
              <w:rPr>
                <w:sz w:val="15"/>
                <w:szCs w:val="15"/>
                <w:color w:val="auto"/>
              </w:rPr>
            </w:pPr>
          </w:p>
        </w:tc>
        <w:tc>
          <w:tcPr>
            <w:tcW w:w="1560" w:type="dxa"/>
            <w:vAlign w:val="bottom"/>
          </w:tcPr>
          <w:p>
            <w:pPr>
              <w:ind w:left="260"/>
              <w:spacing w:after="0"/>
              <w:rPr>
                <w:sz w:val="20"/>
                <w:szCs w:val="20"/>
                <w:color w:val="auto"/>
              </w:rPr>
            </w:pPr>
            <w:r>
              <w:rPr>
                <w:rFonts w:ascii="Arial" w:cs="Arial" w:eastAsia="Arial" w:hAnsi="Arial"/>
                <w:sz w:val="14"/>
                <w:szCs w:val="14"/>
                <w:color w:val="auto"/>
              </w:rPr>
              <w:t>of vesting</w:t>
            </w: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320" w:type="dxa"/>
            <w:vAlign w:val="bottom"/>
            <w:tcBorders>
              <w:left w:val="single" w:sz="8" w:color="auto"/>
            </w:tcBorders>
            <w:vMerge w:val="continue"/>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if Company</w:t>
            </w: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Breaches</w:t>
            </w: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Employment</w:t>
            </w: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2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Agreement</w:t>
            </w:r>
          </w:p>
        </w:tc>
        <w:tc>
          <w:tcPr>
            <w:tcW w:w="130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(1)</w:t>
            </w:r>
          </w:p>
        </w:tc>
        <w:tc>
          <w:tcPr>
            <w:tcW w:w="1560" w:type="dxa"/>
            <w:vAlign w:val="bottom"/>
          </w:tcPr>
          <w:p>
            <w:pPr>
              <w:jc w:val="center"/>
              <w:ind w:left="29"/>
              <w:spacing w:after="0"/>
              <w:rPr>
                <w:sz w:val="20"/>
                <w:szCs w:val="20"/>
                <w:color w:val="auto"/>
              </w:rPr>
            </w:pPr>
            <w:r>
              <w:rPr>
                <w:rFonts w:ascii="Arial" w:cs="Arial" w:eastAsia="Arial" w:hAnsi="Arial"/>
                <w:sz w:val="14"/>
                <w:szCs w:val="14"/>
                <w:b w:val="1"/>
                <w:bCs w:val="1"/>
                <w:color w:val="auto"/>
              </w:rPr>
              <w:t>(2)</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(4)</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(6)</w:t>
            </w: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20" w:type="dxa"/>
            <w:vAlign w:val="bottom"/>
            <w:tcBorders>
              <w:left w:val="single" w:sz="8" w:color="auto"/>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32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b w:val="1"/>
                <w:bCs w:val="1"/>
                <w:color w:val="auto"/>
              </w:rPr>
              <w:t>Executive</w:t>
            </w:r>
          </w:p>
        </w:tc>
        <w:tc>
          <w:tcPr>
            <w:tcW w:w="1300" w:type="dxa"/>
            <w:vAlign w:val="bottom"/>
          </w:tcPr>
          <w:p>
            <w:pPr>
              <w:jc w:val="center"/>
              <w:ind w:left="69"/>
              <w:spacing w:after="0" w:line="134" w:lineRule="exact"/>
              <w:rPr>
                <w:sz w:val="20"/>
                <w:szCs w:val="20"/>
                <w:color w:val="auto"/>
              </w:rPr>
            </w:pPr>
            <w:r>
              <w:rPr>
                <w:rFonts w:ascii="Arial" w:cs="Arial" w:eastAsia="Arial" w:hAnsi="Arial"/>
                <w:sz w:val="14"/>
                <w:szCs w:val="14"/>
                <w:color w:val="auto"/>
              </w:rPr>
              <w:t>—</w:t>
            </w:r>
          </w:p>
        </w:tc>
        <w:tc>
          <w:tcPr>
            <w:tcW w:w="1560" w:type="dxa"/>
            <w:vAlign w:val="bottom"/>
          </w:tcPr>
          <w:p>
            <w:pPr>
              <w:jc w:val="right"/>
              <w:ind w:right="589"/>
              <w:spacing w:after="0" w:line="134" w:lineRule="exact"/>
              <w:rPr>
                <w:sz w:val="20"/>
                <w:szCs w:val="20"/>
                <w:color w:val="auto"/>
              </w:rPr>
            </w:pPr>
            <w:r>
              <w:rPr>
                <w:rFonts w:ascii="Arial" w:cs="Arial" w:eastAsia="Arial" w:hAnsi="Arial"/>
                <w:sz w:val="14"/>
                <w:szCs w:val="14"/>
                <w:color w:val="auto"/>
              </w:rPr>
              <w:t>—</w:t>
            </w:r>
          </w:p>
        </w:tc>
        <w:tc>
          <w:tcPr>
            <w:tcW w:w="1340" w:type="dxa"/>
            <w:vAlign w:val="bottom"/>
          </w:tcPr>
          <w:p>
            <w:pPr>
              <w:jc w:val="center"/>
              <w:spacing w:after="0" w:line="134" w:lineRule="exact"/>
              <w:rPr>
                <w:sz w:val="20"/>
                <w:szCs w:val="20"/>
                <w:color w:val="auto"/>
              </w:rPr>
            </w:pPr>
            <w:r>
              <w:rPr>
                <w:rFonts w:ascii="Arial" w:cs="Arial" w:eastAsia="Arial" w:hAnsi="Arial"/>
                <w:sz w:val="14"/>
                <w:szCs w:val="14"/>
                <w:color w:val="auto"/>
                <w:w w:val="91"/>
              </w:rPr>
              <w:t>$2,256,933</w:t>
            </w:r>
          </w:p>
        </w:tc>
        <w:tc>
          <w:tcPr>
            <w:tcW w:w="1440" w:type="dxa"/>
            <w:vAlign w:val="bottom"/>
          </w:tcPr>
          <w:p>
            <w:pPr>
              <w:jc w:val="center"/>
              <w:spacing w:after="0" w:line="134" w:lineRule="exact"/>
              <w:rPr>
                <w:sz w:val="20"/>
                <w:szCs w:val="20"/>
                <w:color w:val="auto"/>
              </w:rPr>
            </w:pPr>
            <w:r>
              <w:rPr>
                <w:rFonts w:ascii="Arial" w:cs="Arial" w:eastAsia="Arial" w:hAnsi="Arial"/>
                <w:sz w:val="14"/>
                <w:szCs w:val="14"/>
                <w:color w:val="auto"/>
                <w:w w:val="92"/>
              </w:rPr>
              <w:t>$383,799</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3"/>
              </w:rPr>
              <w:t>$7,500</w:t>
            </w:r>
          </w:p>
        </w:tc>
        <w:tc>
          <w:tcPr>
            <w:tcW w:w="138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right"/>
              <w:ind w:right="189"/>
              <w:spacing w:after="0" w:line="134"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$2,648,232</w:t>
            </w: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Resigns</w:t>
            </w: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Before End</w:t>
            </w:r>
          </w:p>
        </w:tc>
        <w:tc>
          <w:tcPr>
            <w:tcW w:w="1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2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of Term</w:t>
            </w:r>
          </w:p>
        </w:tc>
        <w:tc>
          <w:tcPr>
            <w:tcW w:w="1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3"/>
              </w:rPr>
              <w:t>(4)</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(5)</w:t>
            </w:r>
          </w:p>
        </w:tc>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20" w:type="dxa"/>
            <w:vAlign w:val="bottom"/>
            <w:tcBorders>
              <w:left w:val="single" w:sz="8" w:color="auto"/>
            </w:tcBorders>
          </w:tcPr>
          <w:p>
            <w:pPr>
              <w:spacing w:after="0"/>
              <w:rPr>
                <w:sz w:val="15"/>
                <w:szCs w:val="15"/>
                <w:color w:val="auto"/>
              </w:rPr>
            </w:pPr>
          </w:p>
        </w:tc>
        <w:tc>
          <w:tcPr>
            <w:tcW w:w="1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320" w:type="dxa"/>
            <w:vAlign w:val="bottom"/>
            <w:tcBorders>
              <w:left w:val="single" w:sz="8" w:color="auto"/>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2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b w:val="1"/>
                <w:bCs w:val="1"/>
                <w:color w:val="auto"/>
              </w:rPr>
              <w:t>Termination</w:t>
            </w:r>
          </w:p>
        </w:tc>
        <w:tc>
          <w:tcPr>
            <w:tcW w:w="1300" w:type="dxa"/>
            <w:vAlign w:val="bottom"/>
          </w:tcPr>
          <w:p>
            <w:pPr>
              <w:jc w:val="center"/>
              <w:ind w:left="69"/>
              <w:spacing w:after="0" w:line="134" w:lineRule="exact"/>
              <w:rPr>
                <w:sz w:val="20"/>
                <w:szCs w:val="20"/>
                <w:color w:val="auto"/>
              </w:rPr>
            </w:pPr>
            <w:r>
              <w:rPr>
                <w:rFonts w:ascii="Arial" w:cs="Arial" w:eastAsia="Arial" w:hAnsi="Arial"/>
                <w:sz w:val="14"/>
                <w:szCs w:val="14"/>
                <w:b w:val="1"/>
                <w:bCs w:val="1"/>
                <w:color w:val="auto"/>
                <w:w w:val="90"/>
              </w:rPr>
              <w:t>Severance:</w:t>
            </w:r>
          </w:p>
        </w:tc>
        <w:tc>
          <w:tcPr>
            <w:tcW w:w="156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40" w:type="dxa"/>
            <w:vAlign w:val="bottom"/>
          </w:tcPr>
          <w:p>
            <w:pPr>
              <w:jc w:val="center"/>
              <w:spacing w:after="0" w:line="134" w:lineRule="exact"/>
              <w:rPr>
                <w:sz w:val="20"/>
                <w:szCs w:val="20"/>
                <w:color w:val="auto"/>
              </w:rPr>
            </w:pPr>
            <w:r>
              <w:rPr>
                <w:rFonts w:ascii="Arial" w:cs="Arial" w:eastAsia="Arial" w:hAnsi="Arial"/>
                <w:sz w:val="14"/>
                <w:szCs w:val="14"/>
                <w:color w:val="auto"/>
                <w:w w:val="91"/>
              </w:rPr>
              <w:t>$2,256,933</w:t>
            </w:r>
          </w:p>
        </w:tc>
        <w:tc>
          <w:tcPr>
            <w:tcW w:w="1440" w:type="dxa"/>
            <w:vAlign w:val="bottom"/>
          </w:tcPr>
          <w:p>
            <w:pPr>
              <w:jc w:val="center"/>
              <w:spacing w:after="0" w:line="134" w:lineRule="exact"/>
              <w:rPr>
                <w:sz w:val="20"/>
                <w:szCs w:val="20"/>
                <w:color w:val="auto"/>
              </w:rPr>
            </w:pPr>
            <w:r>
              <w:rPr>
                <w:rFonts w:ascii="Arial" w:cs="Arial" w:eastAsia="Arial" w:hAnsi="Arial"/>
                <w:sz w:val="14"/>
                <w:szCs w:val="14"/>
                <w:color w:val="auto"/>
                <w:w w:val="92"/>
              </w:rPr>
              <w:t>$383,799</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3"/>
              </w:rPr>
              <w:t>$7,500</w:t>
            </w:r>
          </w:p>
        </w:tc>
        <w:tc>
          <w:tcPr>
            <w:tcW w:w="1380" w:type="dxa"/>
            <w:vAlign w:val="bottom"/>
          </w:tcPr>
          <w:p>
            <w:pPr>
              <w:jc w:val="center"/>
              <w:spacing w:after="0" w:line="134" w:lineRule="exact"/>
              <w:rPr>
                <w:sz w:val="20"/>
                <w:szCs w:val="20"/>
                <w:color w:val="auto"/>
              </w:rPr>
            </w:pPr>
            <w:r>
              <w:rPr>
                <w:rFonts w:ascii="Arial" w:cs="Arial" w:eastAsia="Arial" w:hAnsi="Arial"/>
                <w:sz w:val="14"/>
                <w:szCs w:val="14"/>
                <w:color w:val="auto"/>
                <w:w w:val="90"/>
              </w:rPr>
              <w:t>$25,000</w:t>
            </w:r>
          </w:p>
        </w:tc>
        <w:tc>
          <w:tcPr>
            <w:tcW w:w="820" w:type="dxa"/>
            <w:vAlign w:val="bottom"/>
          </w:tcPr>
          <w:p>
            <w:pPr>
              <w:jc w:val="right"/>
              <w:ind w:right="189"/>
              <w:spacing w:after="0" w:line="134"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$9,654,810</w:t>
            </w: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following</w:t>
            </w:r>
          </w:p>
        </w:tc>
        <w:tc>
          <w:tcPr>
            <w:tcW w:w="1300" w:type="dxa"/>
            <w:vAlign w:val="bottom"/>
          </w:tcPr>
          <w:p>
            <w:pPr>
              <w:jc w:val="center"/>
              <w:ind w:left="69"/>
              <w:spacing w:after="0" w:line="149" w:lineRule="exact"/>
              <w:rPr>
                <w:sz w:val="20"/>
                <w:szCs w:val="20"/>
                <w:color w:val="auto"/>
              </w:rPr>
            </w:pPr>
            <w:r>
              <w:rPr>
                <w:rFonts w:ascii="Arial" w:cs="Arial" w:eastAsia="Arial" w:hAnsi="Arial"/>
                <w:sz w:val="14"/>
                <w:szCs w:val="14"/>
                <w:color w:val="auto"/>
                <w:w w:val="91"/>
              </w:rPr>
              <w:t>$5,062,500</w:t>
            </w:r>
          </w:p>
        </w:tc>
        <w:tc>
          <w:tcPr>
            <w:tcW w:w="156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Stock:</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Change in</w:t>
            </w:r>
          </w:p>
        </w:tc>
        <w:tc>
          <w:tcPr>
            <w:tcW w:w="1300" w:type="dxa"/>
            <w:vAlign w:val="bottom"/>
          </w:tcPr>
          <w:p>
            <w:pPr>
              <w:spacing w:after="0"/>
              <w:rPr>
                <w:sz w:val="12"/>
                <w:szCs w:val="12"/>
                <w:color w:val="auto"/>
              </w:rPr>
            </w:pPr>
          </w:p>
        </w:tc>
        <w:tc>
          <w:tcPr>
            <w:tcW w:w="1560" w:type="dxa"/>
            <w:vAlign w:val="bottom"/>
          </w:tcPr>
          <w:p>
            <w:pPr>
              <w:jc w:val="right"/>
              <w:ind w:right="589"/>
              <w:spacing w:after="0" w:line="149" w:lineRule="exact"/>
              <w:rPr>
                <w:sz w:val="20"/>
                <w:szCs w:val="20"/>
                <w:color w:val="auto"/>
              </w:rPr>
            </w:pPr>
            <w:r>
              <w:rPr>
                <w:rFonts w:ascii="Arial" w:cs="Arial" w:eastAsia="Arial" w:hAnsi="Arial"/>
                <w:sz w:val="14"/>
                <w:szCs w:val="14"/>
                <w:color w:val="auto"/>
              </w:rPr>
              <w:t>$1,919,078</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2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Control</w:t>
            </w:r>
          </w:p>
        </w:tc>
        <w:tc>
          <w:tcPr>
            <w:tcW w:w="1300" w:type="dxa"/>
            <w:vAlign w:val="bottom"/>
          </w:tcPr>
          <w:p>
            <w:pPr>
              <w:spacing w:after="0"/>
              <w:rPr>
                <w:sz w:val="16"/>
                <w:szCs w:val="16"/>
                <w:color w:val="auto"/>
              </w:rPr>
            </w:pPr>
          </w:p>
        </w:tc>
        <w:tc>
          <w:tcPr>
            <w:tcW w:w="15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Stock Options:</w:t>
            </w:r>
          </w:p>
        </w:tc>
        <w:tc>
          <w:tcPr>
            <w:tcW w:w="1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32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ind w:left="260"/>
              <w:spacing w:after="0" w:line="149" w:lineRule="exact"/>
              <w:rPr>
                <w:sz w:val="20"/>
                <w:szCs w:val="20"/>
                <w:color w:val="auto"/>
              </w:rPr>
            </w:pPr>
            <w:r>
              <w:rPr>
                <w:rFonts w:ascii="Arial" w:cs="Arial" w:eastAsia="Arial" w:hAnsi="Arial"/>
                <w:sz w:val="14"/>
                <w:szCs w:val="14"/>
                <w:color w:val="auto"/>
              </w:rPr>
              <w:t>115,167 shares:</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2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Arial" w:cs="Arial" w:eastAsia="Arial" w:hAnsi="Arial"/>
                <w:sz w:val="14"/>
                <w:szCs w:val="14"/>
                <w:color w:val="auto"/>
              </w:rPr>
              <w:t>$0 value</w:t>
            </w: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20" w:type="dxa"/>
            <w:vAlign w:val="bottom"/>
            <w:tcBorders>
              <w:left w:val="single" w:sz="8" w:color="auto"/>
            </w:tcBorders>
          </w:tcPr>
          <w:p>
            <w:pPr>
              <w:ind w:left="580"/>
              <w:spacing w:after="0"/>
              <w:rPr>
                <w:sz w:val="20"/>
                <w:szCs w:val="20"/>
                <w:color w:val="auto"/>
              </w:rPr>
            </w:pPr>
            <w:r>
              <w:rPr>
                <w:rFonts w:ascii="Arial" w:cs="Arial" w:eastAsia="Arial" w:hAnsi="Arial"/>
                <w:sz w:val="14"/>
                <w:szCs w:val="14"/>
                <w:b w:val="1"/>
                <w:bCs w:val="1"/>
                <w:color w:val="auto"/>
              </w:rPr>
              <w:t>(7)</w:t>
            </w:r>
          </w:p>
        </w:tc>
        <w:tc>
          <w:tcPr>
            <w:tcW w:w="130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(8)</w:t>
            </w:r>
          </w:p>
        </w:tc>
        <w:tc>
          <w:tcPr>
            <w:tcW w:w="1560" w:type="dxa"/>
            <w:vAlign w:val="bottom"/>
          </w:tcPr>
          <w:p>
            <w:pPr>
              <w:jc w:val="center"/>
              <w:ind w:left="29"/>
              <w:spacing w:after="0"/>
              <w:rPr>
                <w:sz w:val="20"/>
                <w:szCs w:val="20"/>
                <w:color w:val="auto"/>
              </w:rPr>
            </w:pPr>
            <w:r>
              <w:rPr>
                <w:rFonts w:ascii="Arial" w:cs="Arial" w:eastAsia="Arial" w:hAnsi="Arial"/>
                <w:sz w:val="14"/>
                <w:szCs w:val="14"/>
                <w:b w:val="1"/>
                <w:bCs w:val="1"/>
                <w:color w:val="auto"/>
                <w:w w:val="99"/>
              </w:rPr>
              <w:t>(2)(9)</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4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(4)</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(6)</w:t>
            </w:r>
          </w:p>
        </w:tc>
        <w:tc>
          <w:tcPr>
            <w:tcW w:w="820" w:type="dxa"/>
            <w:vAlign w:val="bottom"/>
          </w:tcPr>
          <w:p>
            <w:pPr>
              <w:jc w:val="right"/>
              <w:ind w:right="149"/>
              <w:spacing w:after="0"/>
              <w:rPr>
                <w:sz w:val="20"/>
                <w:szCs w:val="20"/>
                <w:color w:val="auto"/>
              </w:rPr>
            </w:pPr>
            <w:r>
              <w:rPr>
                <w:rFonts w:ascii="Arial" w:cs="Arial" w:eastAsia="Arial" w:hAnsi="Arial"/>
                <w:sz w:val="14"/>
                <w:szCs w:val="14"/>
                <w:b w:val="1"/>
                <w:bCs w:val="1"/>
                <w:color w:val="auto"/>
              </w:rPr>
              <w:t>(10)</w:t>
            </w: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20" w:type="dxa"/>
            <w:vAlign w:val="bottom"/>
            <w:tcBorders>
              <w:left w:val="single" w:sz="8" w:color="auto"/>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2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b w:val="1"/>
                <w:bCs w:val="1"/>
                <w:color w:val="auto"/>
              </w:rPr>
              <w:t>Disability</w:t>
            </w:r>
          </w:p>
        </w:tc>
        <w:tc>
          <w:tcPr>
            <w:tcW w:w="1300" w:type="dxa"/>
            <w:vAlign w:val="bottom"/>
          </w:tcPr>
          <w:p>
            <w:pPr>
              <w:jc w:val="center"/>
              <w:ind w:left="69"/>
              <w:spacing w:after="0" w:line="134" w:lineRule="exact"/>
              <w:rPr>
                <w:sz w:val="20"/>
                <w:szCs w:val="20"/>
                <w:color w:val="auto"/>
              </w:rPr>
            </w:pPr>
            <w:r>
              <w:rPr>
                <w:rFonts w:ascii="Arial" w:cs="Arial" w:eastAsia="Arial" w:hAnsi="Arial"/>
                <w:sz w:val="14"/>
                <w:szCs w:val="14"/>
                <w:color w:val="auto"/>
              </w:rPr>
              <w:t>—</w:t>
            </w:r>
          </w:p>
        </w:tc>
        <w:tc>
          <w:tcPr>
            <w:tcW w:w="156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40" w:type="dxa"/>
            <w:vAlign w:val="bottom"/>
          </w:tcPr>
          <w:p>
            <w:pPr>
              <w:jc w:val="center"/>
              <w:spacing w:after="0" w:line="134" w:lineRule="exact"/>
              <w:rPr>
                <w:sz w:val="20"/>
                <w:szCs w:val="20"/>
                <w:color w:val="auto"/>
              </w:rPr>
            </w:pPr>
            <w:r>
              <w:rPr>
                <w:rFonts w:ascii="Arial" w:cs="Arial" w:eastAsia="Arial" w:hAnsi="Arial"/>
                <w:sz w:val="14"/>
                <w:szCs w:val="14"/>
                <w:color w:val="auto"/>
                <w:w w:val="91"/>
              </w:rPr>
              <w:t>$2,256,933</w:t>
            </w:r>
          </w:p>
        </w:tc>
        <w:tc>
          <w:tcPr>
            <w:tcW w:w="1440" w:type="dxa"/>
            <w:vAlign w:val="bottom"/>
          </w:tcPr>
          <w:p>
            <w:pPr>
              <w:jc w:val="center"/>
              <w:spacing w:after="0" w:line="134" w:lineRule="exact"/>
              <w:rPr>
                <w:sz w:val="20"/>
                <w:szCs w:val="20"/>
                <w:color w:val="auto"/>
              </w:rPr>
            </w:pPr>
            <w:r>
              <w:rPr>
                <w:rFonts w:ascii="Arial" w:cs="Arial" w:eastAsia="Arial" w:hAnsi="Arial"/>
                <w:sz w:val="14"/>
                <w:szCs w:val="14"/>
                <w:color w:val="auto"/>
                <w:w w:val="92"/>
              </w:rPr>
              <w:t>$383,799</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3"/>
              </w:rPr>
              <w:t>$7,500</w:t>
            </w:r>
          </w:p>
        </w:tc>
        <w:tc>
          <w:tcPr>
            <w:tcW w:w="138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right"/>
              <w:ind w:right="189"/>
              <w:spacing w:after="0" w:line="134"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$4,567,310</w:t>
            </w:r>
          </w:p>
        </w:tc>
        <w:tc>
          <w:tcPr>
            <w:tcW w:w="0" w:type="dxa"/>
            <w:vAlign w:val="bottom"/>
          </w:tcPr>
          <w:p>
            <w:pPr>
              <w:spacing w:after="0"/>
              <w:rPr>
                <w:sz w:val="1"/>
                <w:szCs w:val="1"/>
                <w:color w:val="auto"/>
              </w:rPr>
            </w:pPr>
          </w:p>
        </w:tc>
      </w:tr>
      <w:tr>
        <w:trPr>
          <w:trHeight w:val="153"/>
        </w:trPr>
        <w:tc>
          <w:tcPr>
            <w:tcW w:w="132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2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jc w:val="right"/>
              <w:ind w:right="589"/>
              <w:spacing w:after="0"/>
              <w:rPr>
                <w:sz w:val="20"/>
                <w:szCs w:val="20"/>
                <w:color w:val="auto"/>
              </w:rPr>
            </w:pPr>
            <w:r>
              <w:rPr>
                <w:rFonts w:ascii="Arial" w:cs="Arial" w:eastAsia="Arial" w:hAnsi="Arial"/>
                <w:sz w:val="14"/>
                <w:szCs w:val="14"/>
                <w:color w:val="auto"/>
              </w:rPr>
              <w:t>$1,919,078</w:t>
            </w: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2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r>
              <w:rPr>
                <w:rFonts w:ascii="Arial" w:cs="Arial" w:eastAsia="Arial" w:hAnsi="Arial"/>
                <w:sz w:val="14"/>
                <w:szCs w:val="14"/>
                <w:color w:val="auto"/>
              </w:rPr>
              <w:t>:</w:t>
            </w: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ind w:left="260"/>
              <w:spacing w:after="0" w:line="149" w:lineRule="exact"/>
              <w:rPr>
                <w:sz w:val="20"/>
                <w:szCs w:val="20"/>
                <w:color w:val="auto"/>
              </w:rPr>
            </w:pPr>
            <w:r>
              <w:rPr>
                <w:rFonts w:ascii="Arial" w:cs="Arial" w:eastAsia="Arial" w:hAnsi="Arial"/>
                <w:sz w:val="14"/>
                <w:szCs w:val="14"/>
                <w:color w:val="auto"/>
              </w:rPr>
              <w:t>49,499 shares:</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2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Arial" w:cs="Arial" w:eastAsia="Arial" w:hAnsi="Arial"/>
                <w:sz w:val="14"/>
                <w:szCs w:val="14"/>
                <w:color w:val="auto"/>
              </w:rPr>
              <w:t>$0 value</w:t>
            </w: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20" w:type="dxa"/>
            <w:vAlign w:val="bottom"/>
            <w:tcBorders>
              <w:lef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tcPr>
          <w:p>
            <w:pPr>
              <w:jc w:val="center"/>
              <w:ind w:left="49"/>
              <w:spacing w:after="0"/>
              <w:rPr>
                <w:sz w:val="20"/>
                <w:szCs w:val="20"/>
                <w:color w:val="auto"/>
              </w:rPr>
            </w:pPr>
            <w:r>
              <w:rPr>
                <w:rFonts w:ascii="Arial" w:cs="Arial" w:eastAsia="Arial" w:hAnsi="Arial"/>
                <w:sz w:val="14"/>
                <w:szCs w:val="14"/>
                <w:b w:val="1"/>
                <w:bCs w:val="1"/>
                <w:color w:val="auto"/>
                <w:w w:val="95"/>
              </w:rPr>
              <w:t>(11)(9)</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(12)</w:t>
            </w:r>
          </w:p>
        </w:tc>
        <w:tc>
          <w:tcPr>
            <w:tcW w:w="144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(4)</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20" w:type="dxa"/>
            <w:vAlign w:val="bottom"/>
            <w:tcBorders>
              <w:left w:val="single" w:sz="8" w:color="auto"/>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2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b w:val="1"/>
                <w:bCs w:val="1"/>
                <w:color w:val="auto"/>
              </w:rPr>
              <w:t>Death</w:t>
            </w:r>
          </w:p>
        </w:tc>
        <w:tc>
          <w:tcPr>
            <w:tcW w:w="1300" w:type="dxa"/>
            <w:vAlign w:val="bottom"/>
          </w:tcPr>
          <w:p>
            <w:pPr>
              <w:jc w:val="center"/>
              <w:ind w:left="69"/>
              <w:spacing w:after="0" w:line="134" w:lineRule="exact"/>
              <w:rPr>
                <w:sz w:val="20"/>
                <w:szCs w:val="20"/>
                <w:color w:val="auto"/>
              </w:rPr>
            </w:pPr>
            <w:r>
              <w:rPr>
                <w:rFonts w:ascii="Arial" w:cs="Arial" w:eastAsia="Arial" w:hAnsi="Arial"/>
                <w:sz w:val="14"/>
                <w:szCs w:val="14"/>
                <w:color w:val="auto"/>
              </w:rPr>
              <w:t>—</w:t>
            </w:r>
          </w:p>
        </w:tc>
        <w:tc>
          <w:tcPr>
            <w:tcW w:w="156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40" w:type="dxa"/>
            <w:vAlign w:val="bottom"/>
          </w:tcPr>
          <w:p>
            <w:pPr>
              <w:jc w:val="center"/>
              <w:spacing w:after="0" w:line="134" w:lineRule="exact"/>
              <w:rPr>
                <w:sz w:val="20"/>
                <w:szCs w:val="20"/>
                <w:color w:val="auto"/>
              </w:rPr>
            </w:pPr>
            <w:r>
              <w:rPr>
                <w:rFonts w:ascii="Arial" w:cs="Arial" w:eastAsia="Arial" w:hAnsi="Arial"/>
                <w:sz w:val="14"/>
                <w:szCs w:val="14"/>
                <w:color w:val="auto"/>
                <w:w w:val="91"/>
              </w:rPr>
              <w:t>$2,256,933</w:t>
            </w:r>
          </w:p>
        </w:tc>
        <w:tc>
          <w:tcPr>
            <w:tcW w:w="1440" w:type="dxa"/>
            <w:vAlign w:val="bottom"/>
          </w:tcPr>
          <w:p>
            <w:pPr>
              <w:jc w:val="center"/>
              <w:spacing w:after="0" w:line="134" w:lineRule="exact"/>
              <w:rPr>
                <w:sz w:val="20"/>
                <w:szCs w:val="20"/>
                <w:color w:val="auto"/>
              </w:rPr>
            </w:pPr>
            <w:r>
              <w:rPr>
                <w:rFonts w:ascii="Arial" w:cs="Arial" w:eastAsia="Arial" w:hAnsi="Arial"/>
                <w:sz w:val="14"/>
                <w:szCs w:val="14"/>
                <w:color w:val="auto"/>
                <w:w w:val="92"/>
              </w:rPr>
              <w:t>$383,799</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right"/>
              <w:ind w:right="189"/>
              <w:spacing w:after="0" w:line="134"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$4,559,810</w:t>
            </w:r>
          </w:p>
        </w:tc>
        <w:tc>
          <w:tcPr>
            <w:tcW w:w="0" w:type="dxa"/>
            <w:vAlign w:val="bottom"/>
          </w:tcPr>
          <w:p>
            <w:pPr>
              <w:spacing w:after="0"/>
              <w:rPr>
                <w:sz w:val="1"/>
                <w:szCs w:val="1"/>
                <w:color w:val="auto"/>
              </w:rPr>
            </w:pPr>
          </w:p>
        </w:tc>
      </w:tr>
      <w:tr>
        <w:trPr>
          <w:trHeight w:val="153"/>
        </w:trPr>
        <w:tc>
          <w:tcPr>
            <w:tcW w:w="132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2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jc w:val="right"/>
              <w:ind w:right="589"/>
              <w:spacing w:after="0"/>
              <w:rPr>
                <w:sz w:val="20"/>
                <w:szCs w:val="20"/>
                <w:color w:val="auto"/>
              </w:rPr>
            </w:pPr>
            <w:r>
              <w:rPr>
                <w:rFonts w:ascii="Arial" w:cs="Arial" w:eastAsia="Arial" w:hAnsi="Arial"/>
                <w:sz w:val="14"/>
                <w:szCs w:val="14"/>
                <w:color w:val="auto"/>
              </w:rPr>
              <w:t>$1,919,078</w:t>
            </w: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20" w:type="dxa"/>
            <w:vAlign w:val="bottom"/>
            <w:tcBorders>
              <w:lef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5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Borders>
              <w:lef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560" w:type="dxa"/>
            <w:vAlign w:val="bottom"/>
          </w:tcPr>
          <w:p>
            <w:pPr>
              <w:ind w:left="260"/>
              <w:spacing w:after="0" w:line="149" w:lineRule="exact"/>
              <w:rPr>
                <w:sz w:val="20"/>
                <w:szCs w:val="20"/>
                <w:color w:val="auto"/>
              </w:rPr>
            </w:pPr>
            <w:r>
              <w:rPr>
                <w:rFonts w:ascii="Arial" w:cs="Arial" w:eastAsia="Arial" w:hAnsi="Arial"/>
                <w:sz w:val="14"/>
                <w:szCs w:val="14"/>
                <w:color w:val="auto"/>
              </w:rPr>
              <w:t>49,499 shares:</w:t>
            </w: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20" w:type="dxa"/>
            <w:vAlign w:val="bottom"/>
            <w:tcBorders>
              <w:left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Arial" w:cs="Arial" w:eastAsia="Arial" w:hAnsi="Arial"/>
                <w:sz w:val="14"/>
                <w:szCs w:val="14"/>
                <w:color w:val="auto"/>
              </w:rPr>
              <w:t>$0 value</w:t>
            </w: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20" w:type="dxa"/>
            <w:vAlign w:val="bottom"/>
            <w:tcBorders>
              <w:lef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560" w:type="dxa"/>
            <w:vAlign w:val="bottom"/>
          </w:tcPr>
          <w:p>
            <w:pPr>
              <w:jc w:val="center"/>
              <w:ind w:left="49"/>
              <w:spacing w:after="0"/>
              <w:rPr>
                <w:sz w:val="20"/>
                <w:szCs w:val="20"/>
                <w:color w:val="auto"/>
              </w:rPr>
            </w:pPr>
            <w:r>
              <w:rPr>
                <w:rFonts w:ascii="Arial" w:cs="Arial" w:eastAsia="Arial" w:hAnsi="Arial"/>
                <w:sz w:val="14"/>
                <w:szCs w:val="14"/>
                <w:b w:val="1"/>
                <w:bCs w:val="1"/>
                <w:color w:val="auto"/>
                <w:w w:val="95"/>
              </w:rPr>
              <w:t>(11)(9)</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(12)</w:t>
            </w:r>
          </w:p>
        </w:tc>
        <w:tc>
          <w:tcPr>
            <w:tcW w:w="144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(4)</w:t>
            </w:r>
          </w:p>
        </w:tc>
        <w:tc>
          <w:tcPr>
            <w:tcW w:w="1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20" w:type="dxa"/>
            <w:vAlign w:val="bottom"/>
            <w:tcBorders>
              <w:left w:val="single" w:sz="8" w:color="auto"/>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32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Cause</w:t>
            </w:r>
          </w:p>
        </w:tc>
        <w:tc>
          <w:tcPr>
            <w:tcW w:w="1300" w:type="dxa"/>
            <w:vAlign w:val="bottom"/>
          </w:tcPr>
          <w:p>
            <w:pPr>
              <w:jc w:val="center"/>
              <w:ind w:left="69"/>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589"/>
              <w:spacing w:after="0"/>
              <w:rPr>
                <w:sz w:val="20"/>
                <w:szCs w:val="20"/>
                <w:color w:val="auto"/>
              </w:rPr>
            </w:pPr>
            <w:r>
              <w:rPr>
                <w:rFonts w:ascii="Arial" w:cs="Arial" w:eastAsia="Arial" w:hAnsi="Arial"/>
                <w:sz w:val="14"/>
                <w:szCs w:val="14"/>
                <w:color w:val="auto"/>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$383,799</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$383,799</w:t>
            </w:r>
          </w:p>
        </w:tc>
        <w:tc>
          <w:tcPr>
            <w:tcW w:w="0" w:type="dxa"/>
            <w:vAlign w:val="bottom"/>
          </w:tcPr>
          <w:p>
            <w:pPr>
              <w:spacing w:after="0"/>
              <w:rPr>
                <w:sz w:val="1"/>
                <w:szCs w:val="1"/>
                <w:color w:val="auto"/>
              </w:rPr>
            </w:pPr>
          </w:p>
        </w:tc>
      </w:tr>
      <w:tr>
        <w:trPr>
          <w:trHeight w:val="262"/>
        </w:trPr>
        <w:tc>
          <w:tcPr>
            <w:tcW w:w="1320" w:type="dxa"/>
            <w:vAlign w:val="bottom"/>
            <w:tcBorders>
              <w:left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4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(4)</w:t>
            </w:r>
          </w:p>
        </w:tc>
        <w:tc>
          <w:tcPr>
            <w:tcW w:w="15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320" w:type="dxa"/>
            <w:vAlign w:val="bottom"/>
            <w:tcBorders>
              <w:left w:val="single" w:sz="8" w:color="auto"/>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Matthew D. Serra</w:t>
      </w:r>
    </w:p>
    <w:p>
      <w:pPr>
        <w:spacing w:after="0" w:line="173" w:lineRule="exact"/>
        <w:rPr>
          <w:sz w:val="20"/>
          <w:szCs w:val="20"/>
          <w:color w:val="auto"/>
        </w:rPr>
      </w:pPr>
    </w:p>
    <w:p>
      <w:pPr>
        <w:jc w:val="both"/>
        <w:ind w:left="540" w:right="40" w:hanging="312"/>
        <w:spacing w:after="0" w:line="313"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severance amount equals the total remaining monthly salary payments through the end of the employment contract term on January 30, 2010. Payment of the first six months of salary continuation would be made six months following termination, and the remaining payments would then be made on a monthly basis. Since the performance goals for the 2007 fiscal year were not met, no bonus would be payable.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6" w:name="page47"/>
    <w:bookmarkEnd w:id="46"/>
    <w:p>
      <w:pPr>
        <w:ind w:left="409" w:hanging="312"/>
        <w:spacing w:after="0"/>
        <w:tabs>
          <w:tab w:leader="none" w:pos="409"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This amount is the value of 137,667 shares of restricted stock that would vest on termination. The shares were valued at $13.94.</w:t>
      </w:r>
    </w:p>
    <w:p>
      <w:pPr>
        <w:spacing w:after="0" w:line="132" w:lineRule="exact"/>
        <w:rPr>
          <w:rFonts w:ascii="Arial" w:cs="Arial" w:eastAsia="Arial" w:hAnsi="Arial"/>
          <w:sz w:val="19"/>
          <w:szCs w:val="19"/>
          <w:color w:val="auto"/>
        </w:rPr>
      </w:pPr>
    </w:p>
    <w:p>
      <w:pPr>
        <w:ind w:left="409" w:right="40" w:hanging="312"/>
        <w:spacing w:after="0" w:line="267" w:lineRule="auto"/>
        <w:tabs>
          <w:tab w:leader="none" w:pos="409"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six months following the executive’s termination date, with the remaining payments made quarterly during the remainder of the three-year period.</w:t>
      </w:r>
    </w:p>
    <w:p>
      <w:pPr>
        <w:spacing w:after="0" w:line="81" w:lineRule="exact"/>
        <w:rPr>
          <w:rFonts w:ascii="Arial" w:cs="Arial" w:eastAsia="Arial" w:hAnsi="Arial"/>
          <w:sz w:val="19"/>
          <w:szCs w:val="19"/>
          <w:color w:val="auto"/>
        </w:rPr>
      </w:pPr>
    </w:p>
    <w:p>
      <w:pPr>
        <w:ind w:left="409" w:right="20" w:hanging="312"/>
        <w:spacing w:after="0" w:line="267" w:lineRule="auto"/>
        <w:tabs>
          <w:tab w:leader="none" w:pos="409" w:val="left"/>
        </w:tabs>
        <w:numPr>
          <w:ilvl w:val="0"/>
          <w:numId w:val="48"/>
        </w:numPr>
        <w:rPr>
          <w:rFonts w:ascii="Arial" w:cs="Arial" w:eastAsia="Arial" w:hAnsi="Arial"/>
          <w:sz w:val="19"/>
          <w:szCs w:val="19"/>
          <w:color w:val="auto"/>
        </w:rPr>
      </w:pPr>
      <w:r>
        <w:rPr>
          <w:rFonts w:ascii="Arial" w:cs="Arial" w:eastAsia="Arial" w:hAnsi="Arial"/>
          <w:sz w:val="19"/>
          <w:szCs w:val="19"/>
          <w:color w:val="auto"/>
        </w:rPr>
        <w:t>Benefit payable as of February 2, 2008 in a lump sum under the Foot Locker Excess Cash Balance Plan.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81" w:lineRule="exact"/>
        <w:rPr>
          <w:rFonts w:ascii="Arial" w:cs="Arial" w:eastAsia="Arial" w:hAnsi="Arial"/>
          <w:sz w:val="19"/>
          <w:szCs w:val="19"/>
          <w:color w:val="auto"/>
        </w:rPr>
      </w:pPr>
    </w:p>
    <w:p>
      <w:pPr>
        <w:ind w:left="409" w:right="20" w:hanging="312"/>
        <w:spacing w:after="0" w:line="294" w:lineRule="auto"/>
        <w:tabs>
          <w:tab w:leader="none" w:pos="409" w:val="left"/>
        </w:tabs>
        <w:numPr>
          <w:ilvl w:val="0"/>
          <w:numId w:val="48"/>
        </w:numPr>
        <w:rPr>
          <w:rFonts w:ascii="Arial" w:cs="Arial" w:eastAsia="Arial" w:hAnsi="Arial"/>
          <w:sz w:val="17"/>
          <w:szCs w:val="17"/>
          <w:color w:val="auto"/>
        </w:rPr>
      </w:pPr>
      <w:r>
        <w:rPr>
          <w:rFonts w:ascii="Arial" w:cs="Arial" w:eastAsia="Arial" w:hAnsi="Arial"/>
          <w:sz w:val="17"/>
          <w:szCs w:val="17"/>
          <w:color w:val="auto"/>
        </w:rPr>
        <w:t>Mr. Serra would be entitled under the SERP to the continuation of medical and dental insurance benefits following termination. The benefits would be substantially the same as those benefits to which senior executives are entitled under Foot Locker’s medical and dental plans for active employees. Mr. Serra would be required to pay the insurance premium applicable to actively employed senior executives, including any subsequent increases in the premiums. The continuation of benefits would terminate if Mr. Serra engages in competition during the one-year period following termination or becomes a participant in a new employer’s health plan. The amount shown in the table represents the estimated annual cost of the Company’s portion of the premiums for an individual policy covering the executive.</w:t>
      </w:r>
    </w:p>
    <w:p>
      <w:pPr>
        <w:spacing w:after="0" w:line="62" w:lineRule="exact"/>
        <w:rPr>
          <w:rFonts w:ascii="Arial" w:cs="Arial" w:eastAsia="Arial" w:hAnsi="Arial"/>
          <w:sz w:val="17"/>
          <w:szCs w:val="17"/>
          <w:color w:val="auto"/>
        </w:rPr>
      </w:pPr>
    </w:p>
    <w:p>
      <w:pPr>
        <w:ind w:left="409" w:hanging="312"/>
        <w:spacing w:after="0"/>
        <w:tabs>
          <w:tab w:leader="none" w:pos="409"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This amount reflects the approximate cost of one year of outplacement services.</w:t>
      </w:r>
    </w:p>
    <w:p>
      <w:pPr>
        <w:spacing w:after="0" w:line="132" w:lineRule="exact"/>
        <w:rPr>
          <w:rFonts w:ascii="Arial" w:cs="Arial" w:eastAsia="Arial" w:hAnsi="Arial"/>
          <w:sz w:val="19"/>
          <w:szCs w:val="19"/>
          <w:color w:val="auto"/>
        </w:rPr>
      </w:pPr>
    </w:p>
    <w:p>
      <w:pPr>
        <w:ind w:left="409" w:right="400" w:hanging="312"/>
        <w:spacing w:after="0" w:line="312" w:lineRule="auto"/>
        <w:tabs>
          <w:tab w:leader="none" w:pos="40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covers (i) termination by the Executive within the 30-day period occurring three months after a Change in Control and (ii) by the Company without Cause or by Executive for Good Reason during the two-year period following a Change in Control.</w:t>
      </w:r>
    </w:p>
    <w:p>
      <w:pPr>
        <w:spacing w:after="0" w:line="42" w:lineRule="exact"/>
        <w:rPr>
          <w:rFonts w:ascii="Arial" w:cs="Arial" w:eastAsia="Arial" w:hAnsi="Arial"/>
          <w:sz w:val="18"/>
          <w:szCs w:val="18"/>
          <w:color w:val="auto"/>
        </w:rPr>
      </w:pPr>
    </w:p>
    <w:p>
      <w:pPr>
        <w:ind w:left="409" w:right="20" w:hanging="312"/>
        <w:spacing w:after="0" w:line="283" w:lineRule="auto"/>
        <w:tabs>
          <w:tab w:leader="none" w:pos="409"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This amount equals 1.5 times Executive’s annual base salary plus annual bonus at target, which is the minimum amount payable to him for termination following a Change-in-Control.</w:t>
      </w:r>
    </w:p>
    <w:p>
      <w:pPr>
        <w:spacing w:after="0" w:line="65" w:lineRule="exact"/>
        <w:rPr>
          <w:rFonts w:ascii="Arial" w:cs="Arial" w:eastAsia="Arial" w:hAnsi="Arial"/>
          <w:sz w:val="19"/>
          <w:szCs w:val="19"/>
          <w:color w:val="auto"/>
        </w:rPr>
      </w:pPr>
    </w:p>
    <w:p>
      <w:pPr>
        <w:ind w:left="409" w:right="480" w:hanging="312"/>
        <w:spacing w:after="0" w:line="283" w:lineRule="auto"/>
        <w:tabs>
          <w:tab w:leader="none" w:pos="409"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fair market value of a share of the Company’s stock on February 2, 2008 was less than the exercise price of each of the unvested options that would be accelerated, so the intrinsic value of the option on that date was $0.</w:t>
      </w:r>
    </w:p>
    <w:p>
      <w:pPr>
        <w:spacing w:after="0" w:line="65" w:lineRule="exact"/>
        <w:rPr>
          <w:rFonts w:ascii="Arial" w:cs="Arial" w:eastAsia="Arial" w:hAnsi="Arial"/>
          <w:sz w:val="19"/>
          <w:szCs w:val="19"/>
          <w:color w:val="auto"/>
        </w:rPr>
      </w:pPr>
    </w:p>
    <w:p>
      <w:pPr>
        <w:ind w:left="409" w:right="60" w:hanging="409"/>
        <w:spacing w:after="0" w:line="262" w:lineRule="auto"/>
        <w:tabs>
          <w:tab w:leader="none" w:pos="409" w:val="left"/>
        </w:tabs>
        <w:numPr>
          <w:ilvl w:val="0"/>
          <w:numId w:val="48"/>
        </w:numPr>
        <w:rPr>
          <w:rFonts w:ascii="Arial" w:cs="Arial" w:eastAsia="Arial" w:hAnsi="Arial"/>
          <w:sz w:val="19"/>
          <w:szCs w:val="19"/>
          <w:color w:val="auto"/>
        </w:rPr>
      </w:pPr>
      <w:r>
        <w:rPr>
          <w:rFonts w:ascii="Arial" w:cs="Arial" w:eastAsia="Arial" w:hAnsi="Arial"/>
          <w:sz w:val="19"/>
          <w:szCs w:val="19"/>
          <w:color w:val="auto"/>
        </w:rPr>
        <w:t>If Mr. Serra receives payments or benefits following a Change in Control that are subject to the excise tax imposed by Section 4999 of the Internal Revenue Code, we would pay him a gross-up payment to put him in the same after-tax position he would have been in had no excise tax been imposed. Based on current estimates, no excise tax would be payable by executive; therefore, there would be no tax gross-up payment.</w:t>
      </w:r>
    </w:p>
    <w:p>
      <w:pPr>
        <w:spacing w:after="0" w:line="85" w:lineRule="exact"/>
        <w:rPr>
          <w:rFonts w:ascii="Arial" w:cs="Arial" w:eastAsia="Arial" w:hAnsi="Arial"/>
          <w:sz w:val="19"/>
          <w:szCs w:val="19"/>
          <w:color w:val="auto"/>
        </w:rPr>
      </w:pPr>
    </w:p>
    <w:p>
      <w:pPr>
        <w:jc w:val="both"/>
        <w:ind w:left="409" w:hanging="402"/>
        <w:spacing w:after="0" w:line="267" w:lineRule="auto"/>
        <w:tabs>
          <w:tab w:leader="none" w:pos="409"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137,667 shares of restricted stock, valued at $13.94.</w:t>
      </w:r>
    </w:p>
    <w:p>
      <w:pPr>
        <w:spacing w:after="0" w:line="81" w:lineRule="exact"/>
        <w:rPr>
          <w:rFonts w:ascii="Arial" w:cs="Arial" w:eastAsia="Arial" w:hAnsi="Arial"/>
          <w:sz w:val="19"/>
          <w:szCs w:val="19"/>
          <w:color w:val="auto"/>
        </w:rPr>
      </w:pPr>
    </w:p>
    <w:p>
      <w:pPr>
        <w:ind w:left="409" w:hanging="409"/>
        <w:spacing w:after="0"/>
        <w:tabs>
          <w:tab w:leader="none" w:pos="409" w:val="left"/>
        </w:tabs>
        <w:numPr>
          <w:ilvl w:val="0"/>
          <w:numId w:val="48"/>
        </w:numPr>
        <w:rPr>
          <w:rFonts w:ascii="Arial" w:cs="Arial" w:eastAsia="Arial" w:hAnsi="Arial"/>
          <w:sz w:val="19"/>
          <w:szCs w:val="19"/>
          <w:color w:val="auto"/>
        </w:rPr>
      </w:pPr>
      <w:r>
        <w:rPr>
          <w:rFonts w:ascii="Arial" w:cs="Arial" w:eastAsia="Arial" w:hAnsi="Arial"/>
          <w:sz w:val="19"/>
          <w:szCs w:val="19"/>
          <w:color w:val="auto"/>
        </w:rPr>
        <w:t>SERP benefit payable in a lump sum following the determination of disability or the date of death.</w:t>
      </w:r>
    </w:p>
    <w:p>
      <w:pPr>
        <w:spacing w:after="0" w:line="335" w:lineRule="exact"/>
        <w:rPr>
          <w:sz w:val="20"/>
          <w:szCs w:val="20"/>
          <w:color w:val="auto"/>
        </w:rPr>
      </w:pPr>
    </w:p>
    <w:p>
      <w:pPr>
        <w:jc w:val="center"/>
        <w:ind w:right="31"/>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150495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9"/>
          </w:cols>
          <w:pgMar w:left="371" w:top="613" w:right="319" w:bottom="1440" w:gutter="0" w:footer="0" w:header="0"/>
        </w:sectPr>
      </w:pPr>
    </w:p>
    <w:bookmarkStart w:id="47" w:name="page48"/>
    <w:bookmarkEnd w:id="47"/>
    <w:p>
      <w:pPr>
        <w:jc w:val="center"/>
        <w:spacing w:after="0"/>
        <w:rPr>
          <w:sz w:val="20"/>
          <w:szCs w:val="20"/>
          <w:color w:val="auto"/>
        </w:rPr>
      </w:pPr>
      <w:r>
        <w:rPr>
          <w:rFonts w:ascii="Arial" w:cs="Arial" w:eastAsia="Arial" w:hAnsi="Arial"/>
          <w:sz w:val="19"/>
          <w:szCs w:val="19"/>
          <w:b w:val="1"/>
          <w:bCs w:val="1"/>
          <w:color w:val="auto"/>
        </w:rPr>
        <w:t>RICHARD MINA</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427"/>
        </w:trPr>
        <w:tc>
          <w:tcPr>
            <w:tcW w:w="1340" w:type="dxa"/>
            <w:vAlign w:val="bottom"/>
            <w:tcBorders>
              <w:top w:val="single" w:sz="8" w:color="auto"/>
              <w:left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Accelerated</w:t>
            </w:r>
          </w:p>
        </w:tc>
        <w:tc>
          <w:tcPr>
            <w:tcW w:w="1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0"/>
              </w:rPr>
              <w:t>Tax</w:t>
            </w:r>
          </w:p>
        </w:tc>
        <w:tc>
          <w:tcPr>
            <w:tcW w:w="7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of</w:t>
            </w:r>
          </w:p>
        </w:tc>
        <w:tc>
          <w:tcPr>
            <w:tcW w:w="1220" w:type="dxa"/>
            <w:vAlign w:val="bottom"/>
          </w:tcPr>
          <w:p>
            <w:pPr>
              <w:spacing w:after="0"/>
              <w:rPr>
                <w:sz w:val="12"/>
                <w:szCs w:val="12"/>
                <w:color w:val="auto"/>
              </w:rPr>
            </w:pPr>
          </w:p>
        </w:tc>
        <w:tc>
          <w:tcPr>
            <w:tcW w:w="14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88"/>
              </w:rPr>
              <w:t>Gross-</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Reason for</w:t>
            </w:r>
          </w:p>
        </w:tc>
        <w:tc>
          <w:tcPr>
            <w:tcW w:w="128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8"/>
              </w:rPr>
              <w:t>Severance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Stock</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SERP</w:t>
            </w:r>
          </w:p>
        </w:tc>
        <w:tc>
          <w:tcPr>
            <w:tcW w:w="146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50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Continuation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Outplacement</w:t>
            </w:r>
          </w:p>
        </w:tc>
        <w:tc>
          <w:tcPr>
            <w:tcW w:w="82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96"/>
              </w:rPr>
              <w:t>Up</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4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Termination</w:t>
            </w:r>
          </w:p>
        </w:tc>
        <w:tc>
          <w:tcPr>
            <w:tcW w:w="1280" w:type="dxa"/>
            <w:vAlign w:val="bottom"/>
          </w:tcPr>
          <w:p>
            <w:pPr>
              <w:jc w:val="center"/>
              <w:ind w:left="29"/>
              <w:spacing w:after="0"/>
              <w:rPr>
                <w:sz w:val="20"/>
                <w:szCs w:val="20"/>
                <w:color w:val="auto"/>
              </w:rPr>
            </w:pPr>
            <w:r>
              <w:rPr>
                <w:rFonts w:ascii="Arial" w:cs="Arial" w:eastAsia="Arial" w:hAnsi="Arial"/>
                <w:sz w:val="14"/>
                <w:szCs w:val="14"/>
                <w:b w:val="1"/>
                <w:bCs w:val="1"/>
                <w:color w:val="auto"/>
                <w:w w:val="92"/>
              </w:rPr>
              <w:t>Payment</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and Options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Benefit</w:t>
            </w:r>
          </w:p>
        </w:tc>
        <w:tc>
          <w:tcPr>
            <w:tcW w:w="1460" w:type="dxa"/>
            <w:vAlign w:val="bottom"/>
          </w:tcPr>
          <w:p>
            <w:pPr>
              <w:jc w:val="center"/>
              <w:ind w:left="29"/>
              <w:spacing w:after="0"/>
              <w:rPr>
                <w:sz w:val="20"/>
                <w:szCs w:val="20"/>
                <w:color w:val="auto"/>
              </w:rPr>
            </w:pPr>
            <w:r>
              <w:rPr>
                <w:rFonts w:ascii="Arial" w:cs="Arial" w:eastAsia="Arial" w:hAnsi="Arial"/>
                <w:sz w:val="14"/>
                <w:szCs w:val="14"/>
                <w:b w:val="1"/>
                <w:bCs w:val="1"/>
                <w:color w:val="auto"/>
                <w:w w:val="91"/>
              </w:rPr>
              <w:t>Balance Plan</w:t>
            </w:r>
          </w:p>
        </w:tc>
        <w:tc>
          <w:tcPr>
            <w:tcW w:w="1500" w:type="dxa"/>
            <w:vAlign w:val="bottom"/>
          </w:tcPr>
          <w:p>
            <w:pPr>
              <w:ind w:left="280"/>
              <w:spacing w:after="0"/>
              <w:rPr>
                <w:sz w:val="20"/>
                <w:szCs w:val="20"/>
                <w:color w:val="auto"/>
              </w:rPr>
            </w:pPr>
            <w:r>
              <w:rPr>
                <w:rFonts w:ascii="Arial" w:cs="Arial" w:eastAsia="Arial" w:hAnsi="Arial"/>
                <w:sz w:val="14"/>
                <w:szCs w:val="14"/>
                <w:b w:val="1"/>
                <w:bCs w:val="1"/>
                <w:color w:val="auto"/>
              </w:rPr>
              <w:t>Health Benefits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Services</w:t>
            </w:r>
          </w:p>
        </w:tc>
        <w:tc>
          <w:tcPr>
            <w:tcW w:w="820" w:type="dxa"/>
            <w:vAlign w:val="bottom"/>
          </w:tcPr>
          <w:p>
            <w:pPr>
              <w:jc w:val="center"/>
              <w:ind w:left="89"/>
              <w:spacing w:after="0"/>
              <w:rPr>
                <w:sz w:val="20"/>
                <w:szCs w:val="20"/>
                <w:color w:val="auto"/>
              </w:rPr>
            </w:pPr>
            <w:r>
              <w:rPr>
                <w:rFonts w:ascii="Arial" w:cs="Arial" w:eastAsia="Arial" w:hAnsi="Arial"/>
                <w:sz w:val="14"/>
                <w:szCs w:val="14"/>
                <w:b w:val="1"/>
                <w:bCs w:val="1"/>
                <w:color w:val="auto"/>
                <w:w w:val="92"/>
              </w:rPr>
              <w:t>Payment</w:t>
            </w:r>
          </w:p>
        </w:tc>
        <w:tc>
          <w:tcPr>
            <w:tcW w:w="760" w:type="dxa"/>
            <w:vAlign w:val="bottom"/>
            <w:tcBorders>
              <w:right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1340" w:type="dxa"/>
            <w:vAlign w:val="bottom"/>
            <w:tcBorders>
              <w:left w:val="single" w:sz="8" w:color="auto"/>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By Company</w:t>
            </w:r>
          </w:p>
        </w:tc>
        <w:tc>
          <w:tcPr>
            <w:tcW w:w="1280" w:type="dxa"/>
            <w:vAlign w:val="bottom"/>
          </w:tcPr>
          <w:p>
            <w:pPr>
              <w:jc w:val="center"/>
              <w:ind w:left="29"/>
              <w:spacing w:after="0" w:line="134" w:lineRule="exact"/>
              <w:rPr>
                <w:sz w:val="20"/>
                <w:szCs w:val="20"/>
                <w:color w:val="auto"/>
              </w:rPr>
            </w:pPr>
            <w:r>
              <w:rPr>
                <w:rFonts w:ascii="Arial" w:cs="Arial" w:eastAsia="Arial" w:hAnsi="Arial"/>
                <w:sz w:val="14"/>
                <w:szCs w:val="14"/>
                <w:b w:val="1"/>
                <w:bCs w:val="1"/>
                <w:color w:val="auto"/>
                <w:w w:val="88"/>
              </w:rPr>
              <w:t>Severance:</w:t>
            </w:r>
          </w:p>
        </w:tc>
        <w:tc>
          <w:tcPr>
            <w:tcW w:w="166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220" w:type="dxa"/>
            <w:vAlign w:val="bottom"/>
          </w:tcPr>
          <w:p>
            <w:pPr>
              <w:jc w:val="center"/>
              <w:spacing w:after="0" w:line="134" w:lineRule="exact"/>
              <w:rPr>
                <w:sz w:val="20"/>
                <w:szCs w:val="20"/>
                <w:color w:val="auto"/>
              </w:rPr>
            </w:pPr>
            <w:r>
              <w:rPr>
                <w:rFonts w:ascii="Arial" w:cs="Arial" w:eastAsia="Arial" w:hAnsi="Arial"/>
                <w:sz w:val="14"/>
                <w:szCs w:val="14"/>
                <w:color w:val="auto"/>
                <w:w w:val="92"/>
              </w:rPr>
              <w:t>$914,620</w:t>
            </w:r>
          </w:p>
        </w:tc>
        <w:tc>
          <w:tcPr>
            <w:tcW w:w="1460" w:type="dxa"/>
            <w:vAlign w:val="bottom"/>
          </w:tcPr>
          <w:p>
            <w:pPr>
              <w:jc w:val="center"/>
              <w:ind w:left="9"/>
              <w:spacing w:after="0" w:line="134" w:lineRule="exact"/>
              <w:rPr>
                <w:sz w:val="20"/>
                <w:szCs w:val="20"/>
                <w:color w:val="auto"/>
              </w:rPr>
            </w:pPr>
            <w:r>
              <w:rPr>
                <w:rFonts w:ascii="Arial" w:cs="Arial" w:eastAsia="Arial" w:hAnsi="Arial"/>
                <w:sz w:val="14"/>
                <w:szCs w:val="14"/>
                <w:color w:val="auto"/>
                <w:w w:val="92"/>
              </w:rPr>
              <w:t>$427,030</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0"/>
              </w:rPr>
              <w:t>$15,000</w:t>
            </w:r>
          </w:p>
        </w:tc>
        <w:tc>
          <w:tcPr>
            <w:tcW w:w="138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$3,005,692</w:t>
            </w:r>
          </w:p>
        </w:tc>
        <w:tc>
          <w:tcPr>
            <w:tcW w:w="0" w:type="dxa"/>
            <w:vAlign w:val="bottom"/>
          </w:tcPr>
          <w:p>
            <w:pPr>
              <w:spacing w:after="0"/>
              <w:rPr>
                <w:sz w:val="1"/>
                <w:szCs w:val="1"/>
                <w:color w:val="auto"/>
              </w:rPr>
            </w:pPr>
          </w:p>
        </w:tc>
      </w:tr>
      <w:tr>
        <w:trPr>
          <w:trHeight w:val="153"/>
        </w:trPr>
        <w:tc>
          <w:tcPr>
            <w:tcW w:w="1340" w:type="dxa"/>
            <w:vAlign w:val="bottom"/>
            <w:tcBorders>
              <w:left w:val="single" w:sz="8" w:color="auto"/>
            </w:tcBorders>
          </w:tcPr>
          <w:p>
            <w:pPr>
              <w:ind w:left="140"/>
              <w:spacing w:after="0" w:line="153" w:lineRule="exact"/>
              <w:rPr>
                <w:sz w:val="20"/>
                <w:szCs w:val="20"/>
                <w:color w:val="auto"/>
              </w:rPr>
            </w:pPr>
            <w:r>
              <w:rPr>
                <w:rFonts w:ascii="Arial" w:cs="Arial" w:eastAsia="Arial" w:hAnsi="Arial"/>
                <w:sz w:val="14"/>
                <w:szCs w:val="14"/>
                <w:color w:val="auto"/>
              </w:rPr>
              <w:t>Without Cause</w:t>
            </w:r>
          </w:p>
        </w:tc>
        <w:tc>
          <w:tcPr>
            <w:tcW w:w="1280" w:type="dxa"/>
            <w:vAlign w:val="bottom"/>
          </w:tcPr>
          <w:p>
            <w:pPr>
              <w:jc w:val="center"/>
              <w:ind w:left="49"/>
              <w:spacing w:after="0" w:line="153" w:lineRule="exact"/>
              <w:rPr>
                <w:sz w:val="20"/>
                <w:szCs w:val="20"/>
                <w:color w:val="auto"/>
              </w:rPr>
            </w:pPr>
            <w:r>
              <w:rPr>
                <w:rFonts w:ascii="Arial" w:cs="Arial" w:eastAsia="Arial" w:hAnsi="Arial"/>
                <w:sz w:val="14"/>
                <w:szCs w:val="14"/>
                <w:color w:val="auto"/>
                <w:w w:val="91"/>
              </w:rPr>
              <w:t>$1,649,042</w:t>
            </w: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r>
              <w:rPr>
                <w:rFonts w:ascii="Arial" w:cs="Arial" w:eastAsia="Arial" w:hAnsi="Arial"/>
                <w:sz w:val="14"/>
                <w:szCs w:val="14"/>
                <w:color w:val="auto"/>
              </w:rPr>
              <w:t>:</w:t>
            </w:r>
          </w:p>
        </w:tc>
        <w:tc>
          <w:tcPr>
            <w:tcW w:w="1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No acceleration</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color w:val="auto"/>
              </w:rPr>
              <w:t>of vesting</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No acceleration</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40" w:type="dxa"/>
            <w:vAlign w:val="bottom"/>
            <w:tcBorders>
              <w:left w:val="single" w:sz="8" w:color="auto"/>
            </w:tcBorders>
          </w:tcPr>
          <w:p>
            <w:pPr>
              <w:spacing w:after="0"/>
              <w:rPr>
                <w:sz w:val="15"/>
                <w:szCs w:val="15"/>
                <w:color w:val="auto"/>
              </w:rPr>
            </w:pPr>
          </w:p>
        </w:tc>
        <w:tc>
          <w:tcPr>
            <w:tcW w:w="128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3"/>
              </w:rPr>
              <w:t>(1)</w:t>
            </w:r>
          </w:p>
        </w:tc>
        <w:tc>
          <w:tcPr>
            <w:tcW w:w="1660" w:type="dxa"/>
            <w:vAlign w:val="bottom"/>
          </w:tcPr>
          <w:p>
            <w:pPr>
              <w:ind w:left="260"/>
              <w:spacing w:after="0"/>
              <w:rPr>
                <w:sz w:val="20"/>
                <w:szCs w:val="20"/>
                <w:color w:val="auto"/>
              </w:rPr>
            </w:pPr>
            <w:r>
              <w:rPr>
                <w:rFonts w:ascii="Arial" w:cs="Arial" w:eastAsia="Arial" w:hAnsi="Arial"/>
                <w:sz w:val="14"/>
                <w:szCs w:val="14"/>
                <w:color w:val="auto"/>
              </w:rPr>
              <w:t>of vesting</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w:t>
            </w:r>
          </w:p>
        </w:tc>
        <w:tc>
          <w:tcPr>
            <w:tcW w:w="146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(4)</w:t>
            </w: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40" w:type="dxa"/>
            <w:vAlign w:val="bottom"/>
            <w:tcBorders>
              <w:left w:val="single" w:sz="8" w:color="auto"/>
            </w:tcBorders>
          </w:tcPr>
          <w:p>
            <w:pPr>
              <w:spacing w:after="0"/>
              <w:rPr>
                <w:sz w:val="15"/>
                <w:szCs w:val="15"/>
                <w:color w:val="auto"/>
              </w:rPr>
            </w:pPr>
          </w:p>
        </w:tc>
        <w:tc>
          <w:tcPr>
            <w:tcW w:w="12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By Executive</w:t>
            </w:r>
          </w:p>
        </w:tc>
        <w:tc>
          <w:tcPr>
            <w:tcW w:w="1280" w:type="dxa"/>
            <w:vAlign w:val="bottom"/>
          </w:tcPr>
          <w:p>
            <w:pPr>
              <w:jc w:val="center"/>
              <w:ind w:left="29"/>
              <w:spacing w:after="0" w:line="134" w:lineRule="exact"/>
              <w:rPr>
                <w:sz w:val="20"/>
                <w:szCs w:val="20"/>
                <w:color w:val="auto"/>
              </w:rPr>
            </w:pPr>
            <w:r>
              <w:rPr>
                <w:rFonts w:ascii="Arial" w:cs="Arial" w:eastAsia="Arial" w:hAnsi="Arial"/>
                <w:sz w:val="14"/>
                <w:szCs w:val="14"/>
                <w:b w:val="1"/>
                <w:bCs w:val="1"/>
                <w:color w:val="auto"/>
                <w:w w:val="88"/>
              </w:rPr>
              <w:t>Severance:</w:t>
            </w:r>
          </w:p>
        </w:tc>
        <w:tc>
          <w:tcPr>
            <w:tcW w:w="166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220" w:type="dxa"/>
            <w:vAlign w:val="bottom"/>
          </w:tcPr>
          <w:p>
            <w:pPr>
              <w:jc w:val="center"/>
              <w:spacing w:after="0" w:line="134" w:lineRule="exact"/>
              <w:rPr>
                <w:sz w:val="20"/>
                <w:szCs w:val="20"/>
                <w:color w:val="auto"/>
              </w:rPr>
            </w:pPr>
            <w:r>
              <w:rPr>
                <w:rFonts w:ascii="Arial" w:cs="Arial" w:eastAsia="Arial" w:hAnsi="Arial"/>
                <w:sz w:val="14"/>
                <w:szCs w:val="14"/>
                <w:color w:val="auto"/>
                <w:w w:val="92"/>
              </w:rPr>
              <w:t>$914,620</w:t>
            </w:r>
          </w:p>
        </w:tc>
        <w:tc>
          <w:tcPr>
            <w:tcW w:w="1460" w:type="dxa"/>
            <w:vAlign w:val="bottom"/>
          </w:tcPr>
          <w:p>
            <w:pPr>
              <w:jc w:val="center"/>
              <w:ind w:left="9"/>
              <w:spacing w:after="0" w:line="134" w:lineRule="exact"/>
              <w:rPr>
                <w:sz w:val="20"/>
                <w:szCs w:val="20"/>
                <w:color w:val="auto"/>
              </w:rPr>
            </w:pPr>
            <w:r>
              <w:rPr>
                <w:rFonts w:ascii="Arial" w:cs="Arial" w:eastAsia="Arial" w:hAnsi="Arial"/>
                <w:sz w:val="14"/>
                <w:szCs w:val="14"/>
                <w:color w:val="auto"/>
                <w:w w:val="92"/>
              </w:rPr>
              <w:t>$427,030</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0"/>
              </w:rPr>
              <w:t>$15,000</w:t>
            </w:r>
          </w:p>
        </w:tc>
        <w:tc>
          <w:tcPr>
            <w:tcW w:w="138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$3,005,692</w:t>
            </w:r>
          </w:p>
        </w:tc>
        <w:tc>
          <w:tcPr>
            <w:tcW w:w="0" w:type="dxa"/>
            <w:vAlign w:val="bottom"/>
          </w:tcPr>
          <w:p>
            <w:pPr>
              <w:spacing w:after="0"/>
              <w:rPr>
                <w:sz w:val="1"/>
                <w:szCs w:val="1"/>
                <w:color w:val="auto"/>
              </w:rPr>
            </w:pPr>
          </w:p>
        </w:tc>
      </w:tr>
      <w:tr>
        <w:trPr>
          <w:trHeight w:val="153"/>
        </w:trPr>
        <w:tc>
          <w:tcPr>
            <w:tcW w:w="1340" w:type="dxa"/>
            <w:vAlign w:val="bottom"/>
            <w:tcBorders>
              <w:left w:val="single" w:sz="8" w:color="auto"/>
            </w:tcBorders>
          </w:tcPr>
          <w:p>
            <w:pPr>
              <w:ind w:left="140"/>
              <w:spacing w:after="0" w:line="153" w:lineRule="exact"/>
              <w:rPr>
                <w:sz w:val="20"/>
                <w:szCs w:val="20"/>
                <w:color w:val="auto"/>
              </w:rPr>
            </w:pPr>
            <w:r>
              <w:rPr>
                <w:rFonts w:ascii="Arial" w:cs="Arial" w:eastAsia="Arial" w:hAnsi="Arial"/>
                <w:sz w:val="14"/>
                <w:szCs w:val="14"/>
                <w:color w:val="auto"/>
              </w:rPr>
              <w:t>for Good</w:t>
            </w:r>
          </w:p>
        </w:tc>
        <w:tc>
          <w:tcPr>
            <w:tcW w:w="1280" w:type="dxa"/>
            <w:vAlign w:val="bottom"/>
          </w:tcPr>
          <w:p>
            <w:pPr>
              <w:jc w:val="center"/>
              <w:ind w:left="49"/>
              <w:spacing w:after="0" w:line="153" w:lineRule="exact"/>
              <w:rPr>
                <w:sz w:val="20"/>
                <w:szCs w:val="20"/>
                <w:color w:val="auto"/>
              </w:rPr>
            </w:pPr>
            <w:r>
              <w:rPr>
                <w:rFonts w:ascii="Arial" w:cs="Arial" w:eastAsia="Arial" w:hAnsi="Arial"/>
                <w:sz w:val="14"/>
                <w:szCs w:val="14"/>
                <w:color w:val="auto"/>
                <w:w w:val="91"/>
              </w:rPr>
              <w:t>$1,649,042</w:t>
            </w: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Reason</w:t>
            </w: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No acceleration</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color w:val="auto"/>
              </w:rPr>
              <w:t>of vesting</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43,334 shares:</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color w:val="auto"/>
              </w:rPr>
              <w:t>$0 value</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40" w:type="dxa"/>
            <w:vAlign w:val="bottom"/>
            <w:tcBorders>
              <w:left w:val="single" w:sz="8" w:color="auto"/>
            </w:tcBorders>
          </w:tcPr>
          <w:p>
            <w:pPr>
              <w:spacing w:after="0"/>
              <w:rPr>
                <w:sz w:val="16"/>
                <w:szCs w:val="16"/>
                <w:color w:val="auto"/>
              </w:rPr>
            </w:pPr>
          </w:p>
        </w:tc>
        <w:tc>
          <w:tcPr>
            <w:tcW w:w="1280" w:type="dxa"/>
            <w:vAlign w:val="bottom"/>
          </w:tcPr>
          <w:p>
            <w:pPr>
              <w:jc w:val="center"/>
              <w:ind w:left="49"/>
              <w:spacing w:after="0"/>
              <w:rPr>
                <w:sz w:val="20"/>
                <w:szCs w:val="20"/>
                <w:color w:val="auto"/>
              </w:rPr>
            </w:pPr>
            <w:r>
              <w:rPr>
                <w:rFonts w:ascii="Arial" w:cs="Arial" w:eastAsia="Arial" w:hAnsi="Arial"/>
                <w:sz w:val="14"/>
                <w:szCs w:val="14"/>
                <w:b w:val="1"/>
                <w:bCs w:val="1"/>
                <w:color w:val="auto"/>
                <w:w w:val="93"/>
              </w:rPr>
              <w:t>(1)</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(5)</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46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40" w:type="dxa"/>
            <w:vAlign w:val="bottom"/>
            <w:tcBorders>
              <w:left w:val="single" w:sz="8" w:color="auto"/>
            </w:tcBorders>
          </w:tcPr>
          <w:p>
            <w:pPr>
              <w:ind w:left="140"/>
              <w:spacing w:after="0" w:line="138" w:lineRule="exact"/>
              <w:rPr>
                <w:sz w:val="20"/>
                <w:szCs w:val="20"/>
                <w:color w:val="auto"/>
              </w:rPr>
            </w:pPr>
            <w:r>
              <w:rPr>
                <w:rFonts w:ascii="Arial" w:cs="Arial" w:eastAsia="Arial" w:hAnsi="Arial"/>
                <w:sz w:val="14"/>
                <w:szCs w:val="14"/>
                <w:color w:val="auto"/>
              </w:rPr>
              <w:t>Executive</w:t>
            </w:r>
          </w:p>
        </w:tc>
        <w:tc>
          <w:tcPr>
            <w:tcW w:w="1280" w:type="dxa"/>
            <w:vAlign w:val="bottom"/>
          </w:tcPr>
          <w:p>
            <w:pPr>
              <w:jc w:val="center"/>
              <w:ind w:left="29"/>
              <w:spacing w:after="0" w:line="138" w:lineRule="exact"/>
              <w:rPr>
                <w:sz w:val="20"/>
                <w:szCs w:val="20"/>
                <w:color w:val="auto"/>
              </w:rPr>
            </w:pPr>
            <w:r>
              <w:rPr>
                <w:rFonts w:ascii="Arial" w:cs="Arial" w:eastAsia="Arial" w:hAnsi="Arial"/>
                <w:sz w:val="14"/>
                <w:szCs w:val="14"/>
                <w:color w:val="auto"/>
                <w:w w:val="99"/>
              </w:rPr>
              <w:t>—</w:t>
            </w:r>
          </w:p>
        </w:tc>
        <w:tc>
          <w:tcPr>
            <w:tcW w:w="166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line="138" w:lineRule="exact"/>
              <w:rPr>
                <w:sz w:val="20"/>
                <w:szCs w:val="20"/>
                <w:color w:val="auto"/>
              </w:rPr>
            </w:pPr>
            <w:r>
              <w:rPr>
                <w:rFonts w:ascii="Arial" w:cs="Arial" w:eastAsia="Arial" w:hAnsi="Arial"/>
                <w:sz w:val="14"/>
                <w:szCs w:val="14"/>
                <w:color w:val="auto"/>
                <w:w w:val="92"/>
              </w:rPr>
              <w:t>$914,620</w:t>
            </w:r>
          </w:p>
        </w:tc>
        <w:tc>
          <w:tcPr>
            <w:tcW w:w="1460" w:type="dxa"/>
            <w:vAlign w:val="bottom"/>
          </w:tcPr>
          <w:p>
            <w:pPr>
              <w:jc w:val="center"/>
              <w:ind w:left="9"/>
              <w:spacing w:after="0" w:line="138" w:lineRule="exact"/>
              <w:rPr>
                <w:sz w:val="20"/>
                <w:szCs w:val="20"/>
                <w:color w:val="auto"/>
              </w:rPr>
            </w:pPr>
            <w:r>
              <w:rPr>
                <w:rFonts w:ascii="Arial" w:cs="Arial" w:eastAsia="Arial" w:hAnsi="Arial"/>
                <w:sz w:val="14"/>
                <w:szCs w:val="14"/>
                <w:color w:val="auto"/>
                <w:w w:val="92"/>
              </w:rPr>
              <w:t>$427,030</w:t>
            </w:r>
          </w:p>
        </w:tc>
        <w:tc>
          <w:tcPr>
            <w:tcW w:w="1500" w:type="dxa"/>
            <w:vAlign w:val="bottom"/>
          </w:tcPr>
          <w:p>
            <w:pPr>
              <w:jc w:val="center"/>
              <w:spacing w:after="0" w:line="138" w:lineRule="exact"/>
              <w:rPr>
                <w:sz w:val="20"/>
                <w:szCs w:val="20"/>
                <w:color w:val="auto"/>
              </w:rPr>
            </w:pPr>
            <w:r>
              <w:rPr>
                <w:rFonts w:ascii="Arial" w:cs="Arial" w:eastAsia="Arial" w:hAnsi="Arial"/>
                <w:sz w:val="14"/>
                <w:szCs w:val="14"/>
                <w:color w:val="auto"/>
                <w:w w:val="90"/>
              </w:rPr>
              <w:t>$15,000</w:t>
            </w:r>
          </w:p>
        </w:tc>
        <w:tc>
          <w:tcPr>
            <w:tcW w:w="138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8"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color w:val="auto"/>
                <w:w w:val="94"/>
              </w:rPr>
              <w:t>$1,356,650</w:t>
            </w: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Resigns</w:t>
            </w:r>
          </w:p>
        </w:tc>
        <w:tc>
          <w:tcPr>
            <w:tcW w:w="1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Before End</w:t>
            </w:r>
          </w:p>
        </w:tc>
        <w:tc>
          <w:tcPr>
            <w:tcW w:w="1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4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of Term</w:t>
            </w:r>
          </w:p>
        </w:tc>
        <w:tc>
          <w:tcPr>
            <w:tcW w:w="1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w:t>
            </w:r>
          </w:p>
        </w:tc>
        <w:tc>
          <w:tcPr>
            <w:tcW w:w="146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(4)</w:t>
            </w: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40" w:type="dxa"/>
            <w:vAlign w:val="bottom"/>
            <w:tcBorders>
              <w:lef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Termination</w:t>
            </w:r>
          </w:p>
        </w:tc>
        <w:tc>
          <w:tcPr>
            <w:tcW w:w="1280" w:type="dxa"/>
            <w:vAlign w:val="bottom"/>
          </w:tcPr>
          <w:p>
            <w:pPr>
              <w:jc w:val="center"/>
              <w:ind w:left="29"/>
              <w:spacing w:after="0" w:line="134" w:lineRule="exact"/>
              <w:rPr>
                <w:sz w:val="20"/>
                <w:szCs w:val="20"/>
                <w:color w:val="auto"/>
              </w:rPr>
            </w:pPr>
            <w:r>
              <w:rPr>
                <w:rFonts w:ascii="Arial" w:cs="Arial" w:eastAsia="Arial" w:hAnsi="Arial"/>
                <w:sz w:val="14"/>
                <w:szCs w:val="14"/>
                <w:b w:val="1"/>
                <w:bCs w:val="1"/>
                <w:color w:val="auto"/>
                <w:w w:val="88"/>
              </w:rPr>
              <w:t>Severance:</w:t>
            </w:r>
          </w:p>
        </w:tc>
        <w:tc>
          <w:tcPr>
            <w:tcW w:w="166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220" w:type="dxa"/>
            <w:vAlign w:val="bottom"/>
          </w:tcPr>
          <w:p>
            <w:pPr>
              <w:jc w:val="center"/>
              <w:spacing w:after="0" w:line="134" w:lineRule="exact"/>
              <w:rPr>
                <w:sz w:val="20"/>
                <w:szCs w:val="20"/>
                <w:color w:val="auto"/>
              </w:rPr>
            </w:pPr>
            <w:r>
              <w:rPr>
                <w:rFonts w:ascii="Arial" w:cs="Arial" w:eastAsia="Arial" w:hAnsi="Arial"/>
                <w:sz w:val="14"/>
                <w:szCs w:val="14"/>
                <w:color w:val="auto"/>
                <w:w w:val="92"/>
              </w:rPr>
              <w:t>$914,620</w:t>
            </w:r>
          </w:p>
        </w:tc>
        <w:tc>
          <w:tcPr>
            <w:tcW w:w="1460" w:type="dxa"/>
            <w:vAlign w:val="bottom"/>
          </w:tcPr>
          <w:p>
            <w:pPr>
              <w:jc w:val="center"/>
              <w:ind w:left="9"/>
              <w:spacing w:after="0" w:line="134" w:lineRule="exact"/>
              <w:rPr>
                <w:sz w:val="20"/>
                <w:szCs w:val="20"/>
                <w:color w:val="auto"/>
              </w:rPr>
            </w:pPr>
            <w:r>
              <w:rPr>
                <w:rFonts w:ascii="Arial" w:cs="Arial" w:eastAsia="Arial" w:hAnsi="Arial"/>
                <w:sz w:val="14"/>
                <w:szCs w:val="14"/>
                <w:color w:val="auto"/>
                <w:w w:val="92"/>
              </w:rPr>
              <w:t>$427,030</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0"/>
              </w:rPr>
              <w:t>$15,000</w:t>
            </w:r>
          </w:p>
        </w:tc>
        <w:tc>
          <w:tcPr>
            <w:tcW w:w="138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$6,231,350</w:t>
            </w:r>
          </w:p>
        </w:tc>
        <w:tc>
          <w:tcPr>
            <w:tcW w:w="0" w:type="dxa"/>
            <w:vAlign w:val="bottom"/>
          </w:tcPr>
          <w:p>
            <w:pPr>
              <w:spacing w:after="0"/>
              <w:rPr>
                <w:sz w:val="1"/>
                <w:szCs w:val="1"/>
                <w:color w:val="auto"/>
              </w:rPr>
            </w:pPr>
          </w:p>
        </w:tc>
      </w:tr>
      <w:tr>
        <w:trPr>
          <w:trHeight w:val="153"/>
        </w:trPr>
        <w:tc>
          <w:tcPr>
            <w:tcW w:w="1340" w:type="dxa"/>
            <w:vAlign w:val="bottom"/>
            <w:tcBorders>
              <w:left w:val="single" w:sz="8" w:color="auto"/>
            </w:tcBorders>
          </w:tcPr>
          <w:p>
            <w:pPr>
              <w:ind w:left="140"/>
              <w:spacing w:after="0" w:line="153" w:lineRule="exact"/>
              <w:rPr>
                <w:sz w:val="20"/>
                <w:szCs w:val="20"/>
                <w:color w:val="auto"/>
              </w:rPr>
            </w:pPr>
            <w:r>
              <w:rPr>
                <w:rFonts w:ascii="Arial" w:cs="Arial" w:eastAsia="Arial" w:hAnsi="Arial"/>
                <w:sz w:val="14"/>
                <w:szCs w:val="14"/>
                <w:color w:val="auto"/>
              </w:rPr>
              <w:t>following</w:t>
            </w:r>
          </w:p>
        </w:tc>
        <w:tc>
          <w:tcPr>
            <w:tcW w:w="1280" w:type="dxa"/>
            <w:vAlign w:val="bottom"/>
          </w:tcPr>
          <w:p>
            <w:pPr>
              <w:jc w:val="center"/>
              <w:ind w:left="49"/>
              <w:spacing w:after="0" w:line="153" w:lineRule="exact"/>
              <w:rPr>
                <w:sz w:val="20"/>
                <w:szCs w:val="20"/>
                <w:color w:val="auto"/>
              </w:rPr>
            </w:pPr>
            <w:r>
              <w:rPr>
                <w:rFonts w:ascii="Arial" w:cs="Arial" w:eastAsia="Arial" w:hAnsi="Arial"/>
                <w:sz w:val="14"/>
                <w:szCs w:val="14"/>
                <w:color w:val="auto"/>
                <w:w w:val="91"/>
              </w:rPr>
              <w:t>$3,062,500</w:t>
            </w: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Change in</w:t>
            </w: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$1,812,200</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4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Control</w:t>
            </w:r>
          </w:p>
        </w:tc>
        <w:tc>
          <w:tcPr>
            <w:tcW w:w="1280" w:type="dxa"/>
            <w:vAlign w:val="bottom"/>
          </w:tcPr>
          <w:p>
            <w:pPr>
              <w:spacing w:after="0"/>
              <w:rPr>
                <w:sz w:val="15"/>
                <w:szCs w:val="15"/>
                <w:color w:val="auto"/>
              </w:rPr>
            </w:pPr>
          </w:p>
        </w:tc>
        <w:tc>
          <w:tcPr>
            <w:tcW w:w="16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Stock Options:</w:t>
            </w: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80,001 shares:</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color w:val="auto"/>
              </w:rPr>
              <w:t>$0 value</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40" w:type="dxa"/>
            <w:vAlign w:val="bottom"/>
            <w:tcBorders>
              <w:left w:val="single" w:sz="8" w:color="auto"/>
            </w:tcBorders>
          </w:tcPr>
          <w:p>
            <w:pPr>
              <w:spacing w:after="0"/>
              <w:rPr>
                <w:sz w:val="16"/>
                <w:szCs w:val="16"/>
                <w:color w:val="auto"/>
              </w:rPr>
            </w:pPr>
          </w:p>
        </w:tc>
        <w:tc>
          <w:tcPr>
            <w:tcW w:w="1280" w:type="dxa"/>
            <w:vAlign w:val="bottom"/>
          </w:tcPr>
          <w:p>
            <w:pPr>
              <w:jc w:val="center"/>
              <w:ind w:left="49"/>
              <w:spacing w:after="0"/>
              <w:rPr>
                <w:sz w:val="20"/>
                <w:szCs w:val="20"/>
                <w:color w:val="auto"/>
              </w:rPr>
            </w:pPr>
            <w:r>
              <w:rPr>
                <w:rFonts w:ascii="Arial" w:cs="Arial" w:eastAsia="Arial" w:hAnsi="Arial"/>
                <w:sz w:val="14"/>
                <w:szCs w:val="14"/>
                <w:b w:val="1"/>
                <w:bCs w:val="1"/>
                <w:color w:val="auto"/>
                <w:w w:val="93"/>
              </w:rPr>
              <w:t>(6)</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9"/>
              </w:rPr>
              <w:t>(7)(5)</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46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380" w:type="dxa"/>
            <w:vAlign w:val="bottom"/>
          </w:tcPr>
          <w:p>
            <w:pPr>
              <w:spacing w:after="0"/>
              <w:rPr>
                <w:sz w:val="16"/>
                <w:szCs w:val="16"/>
                <w:color w:val="auto"/>
              </w:rPr>
            </w:pPr>
          </w:p>
        </w:tc>
        <w:tc>
          <w:tcPr>
            <w:tcW w:w="82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(8)</w:t>
            </w: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Disability</w:t>
            </w:r>
          </w:p>
        </w:tc>
        <w:tc>
          <w:tcPr>
            <w:tcW w:w="1280" w:type="dxa"/>
            <w:vAlign w:val="bottom"/>
          </w:tcPr>
          <w:p>
            <w:pPr>
              <w:jc w:val="center"/>
              <w:ind w:left="29"/>
              <w:spacing w:after="0" w:line="134" w:lineRule="exact"/>
              <w:rPr>
                <w:sz w:val="20"/>
                <w:szCs w:val="20"/>
                <w:color w:val="auto"/>
              </w:rPr>
            </w:pPr>
            <w:r>
              <w:rPr>
                <w:rFonts w:ascii="Arial" w:cs="Arial" w:eastAsia="Arial" w:hAnsi="Arial"/>
                <w:sz w:val="14"/>
                <w:szCs w:val="14"/>
                <w:color w:val="auto"/>
                <w:w w:val="99"/>
              </w:rPr>
              <w:t>—</w:t>
            </w:r>
          </w:p>
        </w:tc>
        <w:tc>
          <w:tcPr>
            <w:tcW w:w="166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220" w:type="dxa"/>
            <w:vAlign w:val="bottom"/>
          </w:tcPr>
          <w:p>
            <w:pPr>
              <w:jc w:val="center"/>
              <w:spacing w:after="0" w:line="134" w:lineRule="exact"/>
              <w:rPr>
                <w:sz w:val="20"/>
                <w:szCs w:val="20"/>
                <w:color w:val="auto"/>
              </w:rPr>
            </w:pPr>
            <w:r>
              <w:rPr>
                <w:rFonts w:ascii="Arial" w:cs="Arial" w:eastAsia="Arial" w:hAnsi="Arial"/>
                <w:sz w:val="14"/>
                <w:szCs w:val="14"/>
                <w:color w:val="auto"/>
                <w:w w:val="92"/>
              </w:rPr>
              <w:t>$914,620</w:t>
            </w:r>
          </w:p>
        </w:tc>
        <w:tc>
          <w:tcPr>
            <w:tcW w:w="1460" w:type="dxa"/>
            <w:vAlign w:val="bottom"/>
          </w:tcPr>
          <w:p>
            <w:pPr>
              <w:jc w:val="center"/>
              <w:ind w:left="9"/>
              <w:spacing w:after="0" w:line="134" w:lineRule="exact"/>
              <w:rPr>
                <w:sz w:val="20"/>
                <w:szCs w:val="20"/>
                <w:color w:val="auto"/>
              </w:rPr>
            </w:pPr>
            <w:r>
              <w:rPr>
                <w:rFonts w:ascii="Arial" w:cs="Arial" w:eastAsia="Arial" w:hAnsi="Arial"/>
                <w:sz w:val="14"/>
                <w:szCs w:val="14"/>
                <w:color w:val="auto"/>
                <w:w w:val="92"/>
              </w:rPr>
              <w:t>$427,030</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0"/>
              </w:rPr>
              <w:t>$15,000</w:t>
            </w:r>
          </w:p>
        </w:tc>
        <w:tc>
          <w:tcPr>
            <w:tcW w:w="138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$3,168,850</w:t>
            </w:r>
          </w:p>
        </w:tc>
        <w:tc>
          <w:tcPr>
            <w:tcW w:w="0" w:type="dxa"/>
            <w:vAlign w:val="bottom"/>
          </w:tcPr>
          <w:p>
            <w:pPr>
              <w:spacing w:after="0"/>
              <w:rPr>
                <w:sz w:val="1"/>
                <w:szCs w:val="1"/>
                <w:color w:val="auto"/>
              </w:rPr>
            </w:pPr>
          </w:p>
        </w:tc>
      </w:tr>
      <w:tr>
        <w:trPr>
          <w:trHeight w:val="153"/>
        </w:trPr>
        <w:tc>
          <w:tcPr>
            <w:tcW w:w="13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color w:val="auto"/>
              </w:rPr>
              <w:t>$1,812,200</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r>
              <w:rPr>
                <w:rFonts w:ascii="Arial" w:cs="Arial" w:eastAsia="Arial" w:hAnsi="Arial"/>
                <w:sz w:val="14"/>
                <w:szCs w:val="14"/>
                <w:color w:val="auto"/>
              </w:rPr>
              <w:t>:</w:t>
            </w:r>
          </w:p>
        </w:tc>
        <w:tc>
          <w:tcPr>
            <w:tcW w:w="1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43,334 shares:</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color w:val="auto"/>
              </w:rPr>
              <w:t>$0 value</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40" w:type="dxa"/>
            <w:vAlign w:val="bottom"/>
            <w:tcBorders>
              <w:lef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9"/>
              </w:rPr>
              <w:t>(9)(5)</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(10)</w:t>
            </w:r>
          </w:p>
        </w:tc>
        <w:tc>
          <w:tcPr>
            <w:tcW w:w="146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Death</w:t>
            </w:r>
          </w:p>
        </w:tc>
        <w:tc>
          <w:tcPr>
            <w:tcW w:w="1280" w:type="dxa"/>
            <w:vAlign w:val="bottom"/>
          </w:tcPr>
          <w:p>
            <w:pPr>
              <w:jc w:val="center"/>
              <w:ind w:left="29"/>
              <w:spacing w:after="0" w:line="134" w:lineRule="exact"/>
              <w:rPr>
                <w:sz w:val="20"/>
                <w:szCs w:val="20"/>
                <w:color w:val="auto"/>
              </w:rPr>
            </w:pPr>
            <w:r>
              <w:rPr>
                <w:rFonts w:ascii="Arial" w:cs="Arial" w:eastAsia="Arial" w:hAnsi="Arial"/>
                <w:sz w:val="14"/>
                <w:szCs w:val="14"/>
                <w:color w:val="auto"/>
                <w:w w:val="99"/>
              </w:rPr>
              <w:t>—</w:t>
            </w:r>
          </w:p>
        </w:tc>
        <w:tc>
          <w:tcPr>
            <w:tcW w:w="166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220" w:type="dxa"/>
            <w:vAlign w:val="bottom"/>
          </w:tcPr>
          <w:p>
            <w:pPr>
              <w:jc w:val="center"/>
              <w:spacing w:after="0" w:line="134" w:lineRule="exact"/>
              <w:rPr>
                <w:sz w:val="20"/>
                <w:szCs w:val="20"/>
                <w:color w:val="auto"/>
              </w:rPr>
            </w:pPr>
            <w:r>
              <w:rPr>
                <w:rFonts w:ascii="Arial" w:cs="Arial" w:eastAsia="Arial" w:hAnsi="Arial"/>
                <w:sz w:val="14"/>
                <w:szCs w:val="14"/>
                <w:color w:val="auto"/>
                <w:w w:val="92"/>
              </w:rPr>
              <w:t>$914,620</w:t>
            </w:r>
          </w:p>
        </w:tc>
        <w:tc>
          <w:tcPr>
            <w:tcW w:w="1460" w:type="dxa"/>
            <w:vAlign w:val="bottom"/>
          </w:tcPr>
          <w:p>
            <w:pPr>
              <w:jc w:val="center"/>
              <w:ind w:left="9"/>
              <w:spacing w:after="0" w:line="134" w:lineRule="exact"/>
              <w:rPr>
                <w:sz w:val="20"/>
                <w:szCs w:val="20"/>
                <w:color w:val="auto"/>
              </w:rPr>
            </w:pPr>
            <w:r>
              <w:rPr>
                <w:rFonts w:ascii="Arial" w:cs="Arial" w:eastAsia="Arial" w:hAnsi="Arial"/>
                <w:sz w:val="14"/>
                <w:szCs w:val="14"/>
                <w:color w:val="auto"/>
                <w:w w:val="92"/>
              </w:rPr>
              <w:t>$427,030</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$3,153,850</w:t>
            </w:r>
          </w:p>
        </w:tc>
        <w:tc>
          <w:tcPr>
            <w:tcW w:w="0" w:type="dxa"/>
            <w:vAlign w:val="bottom"/>
          </w:tcPr>
          <w:p>
            <w:pPr>
              <w:spacing w:after="0"/>
              <w:rPr>
                <w:sz w:val="1"/>
                <w:szCs w:val="1"/>
                <w:color w:val="auto"/>
              </w:rPr>
            </w:pPr>
          </w:p>
        </w:tc>
      </w:tr>
      <w:tr>
        <w:trPr>
          <w:trHeight w:val="153"/>
        </w:trPr>
        <w:tc>
          <w:tcPr>
            <w:tcW w:w="13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color w:val="auto"/>
              </w:rPr>
              <w:t>$1,812,200</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66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660" w:type="dxa"/>
            <w:vAlign w:val="bottom"/>
          </w:tcPr>
          <w:p>
            <w:pPr>
              <w:ind w:left="260"/>
              <w:spacing w:after="0" w:line="149" w:lineRule="exact"/>
              <w:rPr>
                <w:sz w:val="20"/>
                <w:szCs w:val="20"/>
                <w:color w:val="auto"/>
              </w:rPr>
            </w:pPr>
            <w:r>
              <w:rPr>
                <w:rFonts w:ascii="Arial" w:cs="Arial" w:eastAsia="Arial" w:hAnsi="Arial"/>
                <w:sz w:val="14"/>
                <w:szCs w:val="14"/>
                <w:color w:val="auto"/>
              </w:rPr>
              <w:t>43,334 shares:</w:t>
            </w: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40" w:type="dxa"/>
            <w:vAlign w:val="bottom"/>
            <w:tcBorders>
              <w:left w:val="single" w:sz="8" w:color="auto"/>
            </w:tcBorders>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ind w:left="260"/>
              <w:spacing w:after="0"/>
              <w:rPr>
                <w:sz w:val="20"/>
                <w:szCs w:val="20"/>
                <w:color w:val="auto"/>
              </w:rPr>
            </w:pPr>
            <w:r>
              <w:rPr>
                <w:rFonts w:ascii="Arial" w:cs="Arial" w:eastAsia="Arial" w:hAnsi="Arial"/>
                <w:sz w:val="14"/>
                <w:szCs w:val="14"/>
                <w:color w:val="auto"/>
              </w:rPr>
              <w:t>$0 value</w:t>
            </w: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40" w:type="dxa"/>
            <w:vAlign w:val="bottom"/>
            <w:tcBorders>
              <w:lef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9"/>
              </w:rPr>
              <w:t>(9)(5)</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(10)</w:t>
            </w:r>
          </w:p>
        </w:tc>
        <w:tc>
          <w:tcPr>
            <w:tcW w:w="146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40" w:type="dxa"/>
            <w:vAlign w:val="bottom"/>
            <w:tcBorders>
              <w:left w:val="single" w:sz="8" w:color="auto"/>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34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Cause</w:t>
            </w:r>
          </w:p>
        </w:tc>
        <w:tc>
          <w:tcPr>
            <w:tcW w:w="1280" w:type="dxa"/>
            <w:vAlign w:val="bottom"/>
          </w:tcPr>
          <w:p>
            <w:pPr>
              <w:jc w:val="center"/>
              <w:ind w:left="29"/>
              <w:spacing w:after="0"/>
              <w:rPr>
                <w:sz w:val="20"/>
                <w:szCs w:val="20"/>
                <w:color w:val="auto"/>
              </w:rPr>
            </w:pPr>
            <w:r>
              <w:rPr>
                <w:rFonts w:ascii="Arial" w:cs="Arial" w:eastAsia="Arial" w:hAnsi="Arial"/>
                <w:sz w:val="14"/>
                <w:szCs w:val="14"/>
                <w:color w:val="auto"/>
                <w:w w:val="99"/>
              </w:rPr>
              <w:t>—</w:t>
            </w:r>
          </w:p>
        </w:tc>
        <w:tc>
          <w:tcPr>
            <w:tcW w:w="1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ind w:left="9"/>
              <w:spacing w:after="0"/>
              <w:rPr>
                <w:sz w:val="20"/>
                <w:szCs w:val="20"/>
                <w:color w:val="auto"/>
              </w:rPr>
            </w:pPr>
            <w:r>
              <w:rPr>
                <w:rFonts w:ascii="Arial" w:cs="Arial" w:eastAsia="Arial" w:hAnsi="Arial"/>
                <w:sz w:val="14"/>
                <w:szCs w:val="14"/>
                <w:color w:val="auto"/>
                <w:w w:val="92"/>
              </w:rPr>
              <w:t>$427,030</w:t>
            </w:r>
          </w:p>
        </w:tc>
        <w:tc>
          <w:tcPr>
            <w:tcW w:w="15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$427,030</w:t>
            </w:r>
          </w:p>
        </w:tc>
        <w:tc>
          <w:tcPr>
            <w:tcW w:w="0" w:type="dxa"/>
            <w:vAlign w:val="bottom"/>
          </w:tcPr>
          <w:p>
            <w:pPr>
              <w:spacing w:after="0"/>
              <w:rPr>
                <w:sz w:val="1"/>
                <w:szCs w:val="1"/>
                <w:color w:val="auto"/>
              </w:rPr>
            </w:pPr>
          </w:p>
        </w:tc>
      </w:tr>
      <w:tr>
        <w:trPr>
          <w:trHeight w:val="266"/>
        </w:trPr>
        <w:tc>
          <w:tcPr>
            <w:tcW w:w="1340" w:type="dxa"/>
            <w:vAlign w:val="bottom"/>
            <w:tcBorders>
              <w:lef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60" w:type="dxa"/>
            <w:vAlign w:val="bottom"/>
          </w:tcPr>
          <w:p>
            <w:pPr>
              <w:jc w:val="center"/>
              <w:ind w:left="29"/>
              <w:spacing w:after="0"/>
              <w:rPr>
                <w:sz w:val="20"/>
                <w:szCs w:val="20"/>
                <w:color w:val="auto"/>
              </w:rPr>
            </w:pPr>
            <w:r>
              <w:rPr>
                <w:rFonts w:ascii="Arial" w:cs="Arial" w:eastAsia="Arial" w:hAnsi="Arial"/>
                <w:sz w:val="14"/>
                <w:szCs w:val="14"/>
                <w:b w:val="1"/>
                <w:bCs w:val="1"/>
                <w:color w:val="auto"/>
                <w:w w:val="93"/>
              </w:rPr>
              <w:t>(3)</w:t>
            </w:r>
          </w:p>
        </w:tc>
        <w:tc>
          <w:tcPr>
            <w:tcW w:w="1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1340" w:type="dxa"/>
            <w:vAlign w:val="bottom"/>
            <w:tcBorders>
              <w:left w:val="single" w:sz="8" w:color="auto"/>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Richard Mina</w:t>
      </w:r>
    </w:p>
    <w:p>
      <w:pPr>
        <w:spacing w:after="0" w:line="173" w:lineRule="exact"/>
        <w:rPr>
          <w:sz w:val="20"/>
          <w:szCs w:val="20"/>
          <w:color w:val="auto"/>
        </w:rPr>
      </w:pPr>
    </w:p>
    <w:p>
      <w:pPr>
        <w:ind w:left="540" w:hanging="31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severance amount equals two weeks’ salary plus portion of annual bonus at target multiplied by executive’s 28 years of service.</w:t>
      </w:r>
    </w:p>
    <w:p>
      <w:pPr>
        <w:spacing w:after="0" w:line="144" w:lineRule="exact"/>
        <w:rPr>
          <w:rFonts w:ascii="Arial" w:cs="Arial" w:eastAsia="Arial" w:hAnsi="Arial"/>
          <w:sz w:val="18"/>
          <w:szCs w:val="18"/>
          <w:color w:val="auto"/>
        </w:rPr>
      </w:pPr>
    </w:p>
    <w:p>
      <w:pPr>
        <w:ind w:left="540" w:right="120" w:hanging="312"/>
        <w:spacing w:after="0" w:line="267" w:lineRule="auto"/>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six months following the executive’s termination date, with the remaining payments made quarterly during the remainder of the three-year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8" w:name="page49"/>
    <w:bookmarkEnd w:id="48"/>
    <w:p>
      <w:pPr>
        <w:ind w:left="409" w:right="20" w:hanging="312"/>
        <w:spacing w:after="0" w:line="267" w:lineRule="auto"/>
        <w:tabs>
          <w:tab w:leader="none" w:pos="409" w:val="left"/>
        </w:tabs>
        <w:numPr>
          <w:ilvl w:val="0"/>
          <w:numId w:val="50"/>
        </w:numPr>
        <w:rPr>
          <w:rFonts w:ascii="Arial" w:cs="Arial" w:eastAsia="Arial" w:hAnsi="Arial"/>
          <w:sz w:val="19"/>
          <w:szCs w:val="19"/>
          <w:color w:val="auto"/>
        </w:rPr>
      </w:pPr>
      <w:r>
        <w:rPr>
          <w:rFonts w:ascii="Arial" w:cs="Arial" w:eastAsia="Arial" w:hAnsi="Arial"/>
          <w:sz w:val="19"/>
          <w:szCs w:val="19"/>
          <w:color w:val="auto"/>
        </w:rPr>
        <w:t>Benefit payable as of February 2, 2008 in a lump sum under the Foot Locker Excess Cash Balance Plan.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81" w:lineRule="exact"/>
        <w:rPr>
          <w:rFonts w:ascii="Arial" w:cs="Arial" w:eastAsia="Arial" w:hAnsi="Arial"/>
          <w:sz w:val="19"/>
          <w:szCs w:val="19"/>
          <w:color w:val="auto"/>
        </w:rPr>
      </w:pPr>
    </w:p>
    <w:p>
      <w:pPr>
        <w:ind w:left="409" w:right="20" w:hanging="312"/>
        <w:spacing w:after="0" w:line="257" w:lineRule="auto"/>
        <w:tabs>
          <w:tab w:leader="none" w:pos="409" w:val="left"/>
        </w:tabs>
        <w:numPr>
          <w:ilvl w:val="0"/>
          <w:numId w:val="50"/>
        </w:numPr>
        <w:rPr>
          <w:rFonts w:ascii="Arial" w:cs="Arial" w:eastAsia="Arial" w:hAnsi="Arial"/>
          <w:sz w:val="19"/>
          <w:szCs w:val="19"/>
          <w:color w:val="auto"/>
        </w:rPr>
      </w:pPr>
      <w:r>
        <w:rPr>
          <w:rFonts w:ascii="Arial" w:cs="Arial" w:eastAsia="Arial" w:hAnsi="Arial"/>
          <w:sz w:val="19"/>
          <w:szCs w:val="19"/>
          <w:color w:val="auto"/>
        </w:rPr>
        <w:t>Mr. Mina would be entitled under the SERP to the continuation of medical and dental insurance benefits following termination. The benefits would be substantially the same as those benefits to which senior executives are entitled under Foot Locker’s medical and dental plans for active employees. Mr. Mina would be required to pay the insurance premium applicable to actively employed senior executives, including any subsequent increases in the premiums. The continuation of benefits would terminate if Mr. Mina engages in competition during the one-year period following termination or becomes a participant in a new employer’s health plan. The amount shown in the table represents the estimated annual cost of the Company’s portion of the premiums for an individual policy covering the executive and his covered dependent.</w:t>
      </w:r>
    </w:p>
    <w:p>
      <w:pPr>
        <w:spacing w:after="0" w:line="90" w:lineRule="exact"/>
        <w:rPr>
          <w:rFonts w:ascii="Arial" w:cs="Arial" w:eastAsia="Arial" w:hAnsi="Arial"/>
          <w:sz w:val="19"/>
          <w:szCs w:val="19"/>
          <w:color w:val="auto"/>
        </w:rPr>
      </w:pPr>
    </w:p>
    <w:p>
      <w:pPr>
        <w:ind w:left="409" w:right="480" w:hanging="312"/>
        <w:spacing w:after="0" w:line="283" w:lineRule="auto"/>
        <w:tabs>
          <w:tab w:leader="none" w:pos="409"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fair market value of a share of the Company’s stock on February 2, 2008 was less than the exercise price of each of the unvested options that would be accelerated, so the intrinsic value of the option on that date was $0.</w:t>
      </w:r>
    </w:p>
    <w:p>
      <w:pPr>
        <w:spacing w:after="0" w:line="65" w:lineRule="exact"/>
        <w:rPr>
          <w:rFonts w:ascii="Arial" w:cs="Arial" w:eastAsia="Arial" w:hAnsi="Arial"/>
          <w:sz w:val="19"/>
          <w:szCs w:val="19"/>
          <w:color w:val="auto"/>
        </w:rPr>
      </w:pPr>
    </w:p>
    <w:p>
      <w:pPr>
        <w:ind w:left="409" w:hanging="312"/>
        <w:spacing w:after="0"/>
        <w:tabs>
          <w:tab w:leader="none" w:pos="409"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severance amount equals 104 weeks’ salary plus two times annual bonus at target.</w:t>
      </w:r>
    </w:p>
    <w:p>
      <w:pPr>
        <w:spacing w:after="0" w:line="132" w:lineRule="exact"/>
        <w:rPr>
          <w:rFonts w:ascii="Arial" w:cs="Arial" w:eastAsia="Arial" w:hAnsi="Arial"/>
          <w:sz w:val="19"/>
          <w:szCs w:val="19"/>
          <w:color w:val="auto"/>
        </w:rPr>
      </w:pPr>
    </w:p>
    <w:p>
      <w:pPr>
        <w:ind w:left="409" w:hanging="312"/>
        <w:spacing w:after="0"/>
        <w:tabs>
          <w:tab w:leader="none" w:pos="40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This amount represents the value of 130,000 shares of restricted stock that would vest on termination. The shares were valued at $13.94.</w:t>
      </w:r>
    </w:p>
    <w:p>
      <w:pPr>
        <w:spacing w:after="0" w:line="155" w:lineRule="exact"/>
        <w:rPr>
          <w:rFonts w:ascii="Arial" w:cs="Arial" w:eastAsia="Arial" w:hAnsi="Arial"/>
          <w:sz w:val="17"/>
          <w:szCs w:val="17"/>
          <w:color w:val="auto"/>
        </w:rPr>
      </w:pPr>
    </w:p>
    <w:p>
      <w:pPr>
        <w:ind w:left="409" w:right="40" w:hanging="312"/>
        <w:spacing w:after="0" w:line="262" w:lineRule="auto"/>
        <w:tabs>
          <w:tab w:leader="none" w:pos="409"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the payments or benefits received by the executive following a Change in Control are subject to the excise tax under Section 4999 of the Internal Revenue Code, then the Company would automatically reduce Mr. Mina’s payments and benefits to an amount equal to $1 less than the amount that would subject him to the excise tax, as long as the reduced amount would result in a greater benefit to him compared to the unreduced amount on a net after-tax basis.</w:t>
      </w:r>
    </w:p>
    <w:p>
      <w:pPr>
        <w:spacing w:after="0" w:line="85" w:lineRule="exact"/>
        <w:rPr>
          <w:rFonts w:ascii="Arial" w:cs="Arial" w:eastAsia="Arial" w:hAnsi="Arial"/>
          <w:sz w:val="19"/>
          <w:szCs w:val="19"/>
          <w:color w:val="auto"/>
        </w:rPr>
      </w:pPr>
    </w:p>
    <w:p>
      <w:pPr>
        <w:jc w:val="both"/>
        <w:ind w:left="409" w:hanging="312"/>
        <w:spacing w:after="0" w:line="267" w:lineRule="auto"/>
        <w:tabs>
          <w:tab w:leader="none" w:pos="409"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130,000 shares of restricted stock, valued at $13.94.</w:t>
      </w:r>
    </w:p>
    <w:p>
      <w:pPr>
        <w:spacing w:after="0" w:line="81" w:lineRule="exact"/>
        <w:rPr>
          <w:rFonts w:ascii="Arial" w:cs="Arial" w:eastAsia="Arial" w:hAnsi="Arial"/>
          <w:sz w:val="19"/>
          <w:szCs w:val="19"/>
          <w:color w:val="auto"/>
        </w:rPr>
      </w:pPr>
    </w:p>
    <w:p>
      <w:pPr>
        <w:ind w:left="409" w:hanging="409"/>
        <w:spacing w:after="0"/>
        <w:tabs>
          <w:tab w:leader="none" w:pos="409" w:val="left"/>
        </w:tabs>
        <w:numPr>
          <w:ilvl w:val="0"/>
          <w:numId w:val="50"/>
        </w:numPr>
        <w:rPr>
          <w:rFonts w:ascii="Arial" w:cs="Arial" w:eastAsia="Arial" w:hAnsi="Arial"/>
          <w:sz w:val="19"/>
          <w:szCs w:val="19"/>
          <w:color w:val="auto"/>
        </w:rPr>
      </w:pPr>
      <w:r>
        <w:rPr>
          <w:rFonts w:ascii="Arial" w:cs="Arial" w:eastAsia="Arial" w:hAnsi="Arial"/>
          <w:sz w:val="19"/>
          <w:szCs w:val="19"/>
          <w:color w:val="auto"/>
        </w:rPr>
        <w:t>SERP benefit payable in a lump sum following the determination of disability or the date of death.</w:t>
      </w:r>
    </w:p>
    <w:p>
      <w:pPr>
        <w:spacing w:after="0" w:line="335" w:lineRule="exact"/>
        <w:rPr>
          <w:sz w:val="20"/>
          <w:szCs w:val="20"/>
          <w:color w:val="auto"/>
        </w:rPr>
      </w:pPr>
    </w:p>
    <w:p>
      <w:pPr>
        <w:jc w:val="center"/>
        <w:ind w:right="31"/>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150495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9"/>
          </w:cols>
          <w:pgMar w:left="371" w:top="613"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9"/>
          <w:szCs w:val="19"/>
          <w:b w:val="1"/>
          <w:bCs w:val="1"/>
          <w:color w:val="auto"/>
        </w:rPr>
        <w:t>RONALD J. HALLS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300" w:type="dxa"/>
            <w:vAlign w:val="bottom"/>
            <w:tcBorders>
              <w:top w:val="single" w:sz="8" w:color="auto"/>
              <w:left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0"/>
              </w:rPr>
              <w:t>Accelerated</w:t>
            </w:r>
          </w:p>
        </w:tc>
        <w:tc>
          <w:tcPr>
            <w:tcW w:w="1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90"/>
              </w:rPr>
              <w:t>Tax</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0"/>
              </w:rPr>
              <w:t>Restricted</w:t>
            </w:r>
          </w:p>
        </w:tc>
        <w:tc>
          <w:tcPr>
            <w:tcW w:w="13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420" w:type="dxa"/>
            <w:vAlign w:val="bottom"/>
          </w:tcPr>
          <w:p>
            <w:pPr>
              <w:spacing w:after="0"/>
              <w:rPr>
                <w:sz w:val="12"/>
                <w:szCs w:val="12"/>
                <w:color w:val="auto"/>
              </w:rPr>
            </w:pPr>
          </w:p>
        </w:tc>
        <w:tc>
          <w:tcPr>
            <w:tcW w:w="8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88"/>
              </w:rPr>
              <w:t>Gross-</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Reason for</w:t>
            </w:r>
          </w:p>
        </w:tc>
        <w:tc>
          <w:tcPr>
            <w:tcW w:w="13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88"/>
              </w:rPr>
              <w:t>Severance</w:t>
            </w:r>
          </w:p>
        </w:tc>
        <w:tc>
          <w:tcPr>
            <w:tcW w:w="158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2"/>
              </w:rPr>
              <w:t>Stock and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SERP</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Health</w:t>
            </w:r>
          </w:p>
        </w:tc>
        <w:tc>
          <w:tcPr>
            <w:tcW w:w="142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2"/>
              </w:rPr>
              <w:t>Outplacement</w:t>
            </w:r>
          </w:p>
        </w:tc>
        <w:tc>
          <w:tcPr>
            <w:tcW w:w="82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96"/>
              </w:rPr>
              <w:t>Up</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Termination</w:t>
            </w:r>
          </w:p>
        </w:tc>
        <w:tc>
          <w:tcPr>
            <w:tcW w:w="1320" w:type="dxa"/>
            <w:vAlign w:val="bottom"/>
          </w:tcPr>
          <w:p>
            <w:pPr>
              <w:jc w:val="center"/>
              <w:ind w:left="69"/>
              <w:spacing w:after="0"/>
              <w:rPr>
                <w:sz w:val="20"/>
                <w:szCs w:val="20"/>
                <w:color w:val="auto"/>
              </w:rPr>
            </w:pPr>
            <w:r>
              <w:rPr>
                <w:rFonts w:ascii="Arial" w:cs="Arial" w:eastAsia="Arial" w:hAnsi="Arial"/>
                <w:sz w:val="14"/>
                <w:szCs w:val="14"/>
                <w:b w:val="1"/>
                <w:bCs w:val="1"/>
                <w:color w:val="auto"/>
                <w:w w:val="92"/>
              </w:rPr>
              <w:t>Payment</w:t>
            </w:r>
          </w:p>
        </w:tc>
        <w:tc>
          <w:tcPr>
            <w:tcW w:w="1580" w:type="dxa"/>
            <w:vAlign w:val="bottom"/>
          </w:tcPr>
          <w:p>
            <w:pPr>
              <w:jc w:val="center"/>
              <w:ind w:left="9"/>
              <w:spacing w:after="0"/>
              <w:rPr>
                <w:sz w:val="20"/>
                <w:szCs w:val="20"/>
                <w:color w:val="auto"/>
              </w:rPr>
            </w:pPr>
            <w:r>
              <w:rPr>
                <w:rFonts w:ascii="Arial" w:cs="Arial" w:eastAsia="Arial" w:hAnsi="Arial"/>
                <w:sz w:val="14"/>
                <w:szCs w:val="14"/>
                <w:b w:val="1"/>
                <w:bCs w:val="1"/>
                <w:color w:val="auto"/>
                <w:w w:val="94"/>
              </w:rPr>
              <w:t>Options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Benefit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Benefits</w:t>
            </w:r>
          </w:p>
        </w:tc>
        <w:tc>
          <w:tcPr>
            <w:tcW w:w="1420" w:type="dxa"/>
            <w:vAlign w:val="bottom"/>
          </w:tcPr>
          <w:p>
            <w:pPr>
              <w:jc w:val="center"/>
              <w:ind w:left="9"/>
              <w:spacing w:after="0"/>
              <w:rPr>
                <w:sz w:val="20"/>
                <w:szCs w:val="20"/>
                <w:color w:val="auto"/>
              </w:rPr>
            </w:pPr>
            <w:r>
              <w:rPr>
                <w:rFonts w:ascii="Arial" w:cs="Arial" w:eastAsia="Arial" w:hAnsi="Arial"/>
                <w:sz w:val="14"/>
                <w:szCs w:val="14"/>
                <w:b w:val="1"/>
                <w:bCs w:val="1"/>
                <w:color w:val="auto"/>
                <w:w w:val="86"/>
              </w:rPr>
              <w:t>Services</w:t>
            </w:r>
          </w:p>
        </w:tc>
        <w:tc>
          <w:tcPr>
            <w:tcW w:w="820" w:type="dxa"/>
            <w:vAlign w:val="bottom"/>
          </w:tcPr>
          <w:p>
            <w:pPr>
              <w:jc w:val="center"/>
              <w:ind w:left="89"/>
              <w:spacing w:after="0"/>
              <w:rPr>
                <w:sz w:val="20"/>
                <w:szCs w:val="20"/>
                <w:color w:val="auto"/>
              </w:rPr>
            </w:pPr>
            <w:r>
              <w:rPr>
                <w:rFonts w:ascii="Arial" w:cs="Arial" w:eastAsia="Arial" w:hAnsi="Arial"/>
                <w:sz w:val="14"/>
                <w:szCs w:val="14"/>
                <w:b w:val="1"/>
                <w:bCs w:val="1"/>
                <w:color w:val="auto"/>
                <w:w w:val="92"/>
              </w:rPr>
              <w:t>Payment</w:t>
            </w:r>
          </w:p>
        </w:tc>
        <w:tc>
          <w:tcPr>
            <w:tcW w:w="760" w:type="dxa"/>
            <w:vAlign w:val="bottom"/>
            <w:tcBorders>
              <w:right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1300" w:type="dxa"/>
            <w:vAlign w:val="bottom"/>
            <w:tcBorders>
              <w:left w:val="single" w:sz="8" w:color="auto"/>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By Company</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b w:val="1"/>
                <w:bCs w:val="1"/>
                <w:color w:val="auto"/>
                <w:w w:val="88"/>
              </w:rPr>
              <w:t>Severance:</w:t>
            </w:r>
          </w:p>
        </w:tc>
        <w:tc>
          <w:tcPr>
            <w:tcW w:w="158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0"/>
              </w:rPr>
              <w:t>$70,959</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3"/>
              </w:rPr>
              <w:t>$7,800</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2"/>
              </w:rPr>
              <w:t>$728,759</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ind w:left="140"/>
              <w:spacing w:after="0" w:line="153" w:lineRule="exact"/>
              <w:rPr>
                <w:sz w:val="20"/>
                <w:szCs w:val="20"/>
                <w:color w:val="auto"/>
              </w:rPr>
            </w:pPr>
            <w:r>
              <w:rPr>
                <w:rFonts w:ascii="Arial" w:cs="Arial" w:eastAsia="Arial" w:hAnsi="Arial"/>
                <w:sz w:val="14"/>
                <w:szCs w:val="14"/>
                <w:color w:val="auto"/>
              </w:rPr>
              <w:t>Without</w:t>
            </w:r>
          </w:p>
        </w:tc>
        <w:tc>
          <w:tcPr>
            <w:tcW w:w="1320" w:type="dxa"/>
            <w:vAlign w:val="bottom"/>
          </w:tcPr>
          <w:p>
            <w:pPr>
              <w:jc w:val="center"/>
              <w:ind w:left="69"/>
              <w:spacing w:after="0" w:line="153" w:lineRule="exact"/>
              <w:rPr>
                <w:sz w:val="20"/>
                <w:szCs w:val="20"/>
                <w:color w:val="auto"/>
              </w:rPr>
            </w:pPr>
            <w:r>
              <w:rPr>
                <w:rFonts w:ascii="Arial" w:cs="Arial" w:eastAsia="Arial" w:hAnsi="Arial"/>
                <w:sz w:val="14"/>
                <w:szCs w:val="14"/>
                <w:color w:val="auto"/>
                <w:w w:val="92"/>
              </w:rPr>
              <w:t>$650,000</w:t>
            </w: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Cause</w:t>
            </w: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No acceleration</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of vesting</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No acceleration</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00" w:type="dxa"/>
            <w:vAlign w:val="bottom"/>
            <w:tcBorders>
              <w:left w:val="single" w:sz="8" w:color="auto"/>
            </w:tcBorders>
          </w:tcPr>
          <w:p>
            <w:pPr>
              <w:spacing w:after="0"/>
              <w:rPr>
                <w:sz w:val="15"/>
                <w:szCs w:val="15"/>
                <w:color w:val="auto"/>
              </w:rPr>
            </w:pPr>
          </w:p>
        </w:tc>
        <w:tc>
          <w:tcPr>
            <w:tcW w:w="1320" w:type="dxa"/>
            <w:vAlign w:val="bottom"/>
            <w:vMerge w:val="restart"/>
          </w:tcPr>
          <w:p>
            <w:pPr>
              <w:jc w:val="center"/>
              <w:ind w:left="89"/>
              <w:spacing w:after="0"/>
              <w:rPr>
                <w:sz w:val="20"/>
                <w:szCs w:val="20"/>
                <w:color w:val="auto"/>
              </w:rPr>
            </w:pPr>
            <w:r>
              <w:rPr>
                <w:rFonts w:ascii="Arial" w:cs="Arial" w:eastAsia="Arial" w:hAnsi="Arial"/>
                <w:sz w:val="14"/>
                <w:szCs w:val="14"/>
                <w:b w:val="1"/>
                <w:bCs w:val="1"/>
                <w:color w:val="auto"/>
                <w:w w:val="93"/>
              </w:rPr>
              <w:t>(1)</w:t>
            </w:r>
          </w:p>
        </w:tc>
        <w:tc>
          <w:tcPr>
            <w:tcW w:w="1580" w:type="dxa"/>
            <w:vAlign w:val="bottom"/>
          </w:tcPr>
          <w:p>
            <w:pPr>
              <w:ind w:left="260"/>
              <w:spacing w:after="0"/>
              <w:rPr>
                <w:sz w:val="20"/>
                <w:szCs w:val="20"/>
                <w:color w:val="auto"/>
              </w:rPr>
            </w:pPr>
            <w:r>
              <w:rPr>
                <w:rFonts w:ascii="Arial" w:cs="Arial" w:eastAsia="Arial" w:hAnsi="Arial"/>
                <w:sz w:val="14"/>
                <w:szCs w:val="14"/>
                <w:color w:val="auto"/>
              </w:rPr>
              <w:t>of vesting</w:t>
            </w:r>
          </w:p>
        </w:tc>
        <w:tc>
          <w:tcPr>
            <w:tcW w:w="130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Borders>
              <w:left w:val="single" w:sz="8" w:color="auto"/>
            </w:tcBorders>
          </w:tcPr>
          <w:p>
            <w:pPr>
              <w:spacing w:after="0"/>
              <w:rPr>
                <w:sz w:val="15"/>
                <w:szCs w:val="15"/>
                <w:color w:val="auto"/>
              </w:rPr>
            </w:pPr>
          </w:p>
        </w:tc>
        <w:tc>
          <w:tcPr>
            <w:tcW w:w="132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By Executive</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b w:val="1"/>
                <w:bCs w:val="1"/>
                <w:color w:val="auto"/>
                <w:w w:val="88"/>
              </w:rPr>
              <w:t>Severance:</w:t>
            </w:r>
          </w:p>
        </w:tc>
        <w:tc>
          <w:tcPr>
            <w:tcW w:w="158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0"/>
              </w:rPr>
              <w:t>$70,959</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3"/>
              </w:rPr>
              <w:t>$7,800</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2"/>
              </w:rPr>
              <w:t>$728,759</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ind w:left="140"/>
              <w:spacing w:after="0" w:line="153" w:lineRule="exact"/>
              <w:rPr>
                <w:sz w:val="20"/>
                <w:szCs w:val="20"/>
                <w:color w:val="auto"/>
              </w:rPr>
            </w:pPr>
            <w:r>
              <w:rPr>
                <w:rFonts w:ascii="Arial" w:cs="Arial" w:eastAsia="Arial" w:hAnsi="Arial"/>
                <w:sz w:val="14"/>
                <w:szCs w:val="14"/>
                <w:color w:val="auto"/>
              </w:rPr>
              <w:t>for Good</w:t>
            </w:r>
          </w:p>
        </w:tc>
        <w:tc>
          <w:tcPr>
            <w:tcW w:w="1320" w:type="dxa"/>
            <w:vAlign w:val="bottom"/>
          </w:tcPr>
          <w:p>
            <w:pPr>
              <w:jc w:val="center"/>
              <w:ind w:left="69"/>
              <w:spacing w:after="0" w:line="153" w:lineRule="exact"/>
              <w:rPr>
                <w:sz w:val="20"/>
                <w:szCs w:val="20"/>
                <w:color w:val="auto"/>
              </w:rPr>
            </w:pPr>
            <w:r>
              <w:rPr>
                <w:rFonts w:ascii="Arial" w:cs="Arial" w:eastAsia="Arial" w:hAnsi="Arial"/>
                <w:sz w:val="14"/>
                <w:szCs w:val="14"/>
                <w:color w:val="auto"/>
                <w:w w:val="92"/>
              </w:rPr>
              <w:t>$650,000</w:t>
            </w: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Reason</w:t>
            </w: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No acceleration</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of vesting</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40,000 shares:</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$0 value</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spacing w:after="0"/>
              <w:rPr>
                <w:sz w:val="16"/>
                <w:szCs w:val="16"/>
                <w:color w:val="auto"/>
              </w:rPr>
            </w:pPr>
          </w:p>
        </w:tc>
        <w:tc>
          <w:tcPr>
            <w:tcW w:w="1320" w:type="dxa"/>
            <w:vAlign w:val="bottom"/>
          </w:tcPr>
          <w:p>
            <w:pPr>
              <w:jc w:val="center"/>
              <w:ind w:left="89"/>
              <w:spacing w:after="0"/>
              <w:rPr>
                <w:sz w:val="20"/>
                <w:szCs w:val="20"/>
                <w:color w:val="auto"/>
              </w:rPr>
            </w:pPr>
            <w:r>
              <w:rPr>
                <w:rFonts w:ascii="Arial" w:cs="Arial" w:eastAsia="Arial" w:hAnsi="Arial"/>
                <w:sz w:val="14"/>
                <w:szCs w:val="14"/>
                <w:b w:val="1"/>
                <w:bCs w:val="1"/>
                <w:color w:val="auto"/>
                <w:w w:val="93"/>
              </w:rPr>
              <w:t>(1)</w:t>
            </w:r>
          </w:p>
        </w:tc>
        <w:tc>
          <w:tcPr>
            <w:tcW w:w="1580" w:type="dxa"/>
            <w:vAlign w:val="bottom"/>
          </w:tcPr>
          <w:p>
            <w:pPr>
              <w:jc w:val="center"/>
              <w:ind w:left="9"/>
              <w:spacing w:after="0"/>
              <w:rPr>
                <w:sz w:val="20"/>
                <w:szCs w:val="20"/>
                <w:color w:val="auto"/>
              </w:rPr>
            </w:pPr>
            <w:r>
              <w:rPr>
                <w:rFonts w:ascii="Arial" w:cs="Arial" w:eastAsia="Arial" w:hAnsi="Arial"/>
                <w:sz w:val="14"/>
                <w:szCs w:val="14"/>
                <w:b w:val="1"/>
                <w:bCs w:val="1"/>
                <w:color w:val="auto"/>
              </w:rPr>
              <w:t>(4)</w:t>
            </w:r>
          </w:p>
        </w:tc>
        <w:tc>
          <w:tcPr>
            <w:tcW w:w="13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00" w:type="dxa"/>
            <w:vAlign w:val="bottom"/>
            <w:tcBorders>
              <w:left w:val="single" w:sz="8" w:color="auto"/>
            </w:tcBorders>
          </w:tcPr>
          <w:p>
            <w:pPr>
              <w:ind w:left="140"/>
              <w:spacing w:after="0" w:line="138" w:lineRule="exact"/>
              <w:rPr>
                <w:sz w:val="20"/>
                <w:szCs w:val="20"/>
                <w:color w:val="auto"/>
              </w:rPr>
            </w:pPr>
            <w:r>
              <w:rPr>
                <w:rFonts w:ascii="Arial" w:cs="Arial" w:eastAsia="Arial" w:hAnsi="Arial"/>
                <w:sz w:val="14"/>
                <w:szCs w:val="14"/>
                <w:color w:val="auto"/>
              </w:rPr>
              <w:t>Executive</w:t>
            </w:r>
          </w:p>
        </w:tc>
        <w:tc>
          <w:tcPr>
            <w:tcW w:w="1320" w:type="dxa"/>
            <w:vAlign w:val="bottom"/>
          </w:tcPr>
          <w:p>
            <w:pPr>
              <w:jc w:val="center"/>
              <w:ind w:left="69"/>
              <w:spacing w:after="0" w:line="138" w:lineRule="exact"/>
              <w:rPr>
                <w:sz w:val="20"/>
                <w:szCs w:val="20"/>
                <w:color w:val="auto"/>
              </w:rPr>
            </w:pPr>
            <w:r>
              <w:rPr>
                <w:rFonts w:ascii="Arial" w:cs="Arial" w:eastAsia="Arial" w:hAnsi="Arial"/>
                <w:sz w:val="14"/>
                <w:szCs w:val="14"/>
                <w:color w:val="auto"/>
                <w:w w:val="99"/>
              </w:rPr>
              <w:t>—</w:t>
            </w:r>
          </w:p>
        </w:tc>
        <w:tc>
          <w:tcPr>
            <w:tcW w:w="1580" w:type="dxa"/>
            <w:vAlign w:val="bottom"/>
          </w:tcPr>
          <w:p>
            <w:pPr>
              <w:jc w:val="center"/>
              <w:ind w:left="9"/>
              <w:spacing w:after="0" w:line="138" w:lineRule="exact"/>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line="138" w:lineRule="exact"/>
              <w:rPr>
                <w:sz w:val="20"/>
                <w:szCs w:val="20"/>
                <w:color w:val="auto"/>
              </w:rPr>
            </w:pPr>
            <w:r>
              <w:rPr>
                <w:rFonts w:ascii="Arial" w:cs="Arial" w:eastAsia="Arial" w:hAnsi="Arial"/>
                <w:sz w:val="14"/>
                <w:szCs w:val="14"/>
                <w:color w:val="auto"/>
                <w:w w:val="90"/>
              </w:rPr>
              <w:t>$70,959</w:t>
            </w:r>
          </w:p>
        </w:tc>
        <w:tc>
          <w:tcPr>
            <w:tcW w:w="142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1420" w:type="dxa"/>
            <w:vAlign w:val="bottom"/>
          </w:tcPr>
          <w:p>
            <w:pPr>
              <w:jc w:val="center"/>
              <w:ind w:left="9"/>
              <w:spacing w:after="0" w:line="138"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8"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color w:val="auto"/>
                <w:w w:val="90"/>
              </w:rPr>
              <w:t>$70,959</w:t>
            </w: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Resigns</w:t>
            </w:r>
          </w:p>
        </w:tc>
        <w:tc>
          <w:tcPr>
            <w:tcW w:w="1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Before End</w:t>
            </w:r>
          </w:p>
        </w:tc>
        <w:tc>
          <w:tcPr>
            <w:tcW w:w="1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of Term</w:t>
            </w:r>
          </w:p>
        </w:tc>
        <w:tc>
          <w:tcPr>
            <w:tcW w:w="1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Borders>
              <w:lef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Termination</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b w:val="1"/>
                <w:bCs w:val="1"/>
                <w:color w:val="auto"/>
                <w:w w:val="88"/>
              </w:rPr>
              <w:t>Severance:</w:t>
            </w:r>
          </w:p>
        </w:tc>
        <w:tc>
          <w:tcPr>
            <w:tcW w:w="158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0"/>
              </w:rPr>
              <w:t>$70,959</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3"/>
              </w:rPr>
              <w:t>$7,800</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$3,329,559</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ind w:left="140"/>
              <w:spacing w:after="0" w:line="153" w:lineRule="exact"/>
              <w:rPr>
                <w:sz w:val="20"/>
                <w:szCs w:val="20"/>
                <w:color w:val="auto"/>
              </w:rPr>
            </w:pPr>
            <w:r>
              <w:rPr>
                <w:rFonts w:ascii="Arial" w:cs="Arial" w:eastAsia="Arial" w:hAnsi="Arial"/>
                <w:sz w:val="14"/>
                <w:szCs w:val="14"/>
                <w:color w:val="auto"/>
              </w:rPr>
              <w:t>following</w:t>
            </w:r>
          </w:p>
        </w:tc>
        <w:tc>
          <w:tcPr>
            <w:tcW w:w="1320" w:type="dxa"/>
            <w:vAlign w:val="bottom"/>
          </w:tcPr>
          <w:p>
            <w:pPr>
              <w:jc w:val="center"/>
              <w:ind w:left="89"/>
              <w:spacing w:after="0" w:line="153" w:lineRule="exact"/>
              <w:rPr>
                <w:sz w:val="20"/>
                <w:szCs w:val="20"/>
                <w:color w:val="auto"/>
              </w:rPr>
            </w:pPr>
            <w:r>
              <w:rPr>
                <w:rFonts w:ascii="Arial" w:cs="Arial" w:eastAsia="Arial" w:hAnsi="Arial"/>
                <w:sz w:val="14"/>
                <w:szCs w:val="14"/>
                <w:color w:val="auto"/>
                <w:w w:val="91"/>
              </w:rPr>
              <w:t>$2,275,000</w:t>
            </w: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Change in</w:t>
            </w: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$975,800</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Control</w:t>
            </w:r>
          </w:p>
        </w:tc>
        <w:tc>
          <w:tcPr>
            <w:tcW w:w="1320" w:type="dxa"/>
            <w:vAlign w:val="bottom"/>
          </w:tcPr>
          <w:p>
            <w:pPr>
              <w:spacing w:after="0"/>
              <w:rPr>
                <w:sz w:val="15"/>
                <w:szCs w:val="15"/>
                <w:color w:val="auto"/>
              </w:rPr>
            </w:pPr>
          </w:p>
        </w:tc>
        <w:tc>
          <w:tcPr>
            <w:tcW w:w="15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80,000 shares:</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$0 value</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spacing w:after="0"/>
              <w:rPr>
                <w:sz w:val="16"/>
                <w:szCs w:val="16"/>
                <w:color w:val="auto"/>
              </w:rPr>
            </w:pPr>
          </w:p>
        </w:tc>
        <w:tc>
          <w:tcPr>
            <w:tcW w:w="1320" w:type="dxa"/>
            <w:vAlign w:val="bottom"/>
          </w:tcPr>
          <w:p>
            <w:pPr>
              <w:jc w:val="center"/>
              <w:ind w:left="89"/>
              <w:spacing w:after="0"/>
              <w:rPr>
                <w:sz w:val="20"/>
                <w:szCs w:val="20"/>
                <w:color w:val="auto"/>
              </w:rPr>
            </w:pPr>
            <w:r>
              <w:rPr>
                <w:rFonts w:ascii="Arial" w:cs="Arial" w:eastAsia="Arial" w:hAnsi="Arial"/>
                <w:sz w:val="14"/>
                <w:szCs w:val="14"/>
                <w:b w:val="1"/>
                <w:bCs w:val="1"/>
                <w:color w:val="auto"/>
                <w:w w:val="93"/>
              </w:rPr>
              <w:t>(5)</w:t>
            </w:r>
          </w:p>
        </w:tc>
        <w:tc>
          <w:tcPr>
            <w:tcW w:w="1580" w:type="dxa"/>
            <w:vAlign w:val="bottom"/>
          </w:tcPr>
          <w:p>
            <w:pPr>
              <w:jc w:val="center"/>
              <w:ind w:left="9"/>
              <w:spacing w:after="0"/>
              <w:rPr>
                <w:sz w:val="20"/>
                <w:szCs w:val="20"/>
                <w:color w:val="auto"/>
              </w:rPr>
            </w:pPr>
            <w:r>
              <w:rPr>
                <w:rFonts w:ascii="Arial" w:cs="Arial" w:eastAsia="Arial" w:hAnsi="Arial"/>
                <w:sz w:val="14"/>
                <w:szCs w:val="14"/>
                <w:b w:val="1"/>
                <w:bCs w:val="1"/>
                <w:color w:val="auto"/>
                <w:w w:val="99"/>
              </w:rPr>
              <w:t>(6)(4)</w:t>
            </w:r>
          </w:p>
        </w:tc>
        <w:tc>
          <w:tcPr>
            <w:tcW w:w="13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6"/>
                <w:szCs w:val="16"/>
                <w:color w:val="auto"/>
              </w:rPr>
            </w:pPr>
          </w:p>
        </w:tc>
        <w:tc>
          <w:tcPr>
            <w:tcW w:w="82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(7)</w:t>
            </w: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Disability</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color w:val="auto"/>
                <w:w w:val="99"/>
              </w:rPr>
              <w:t>—</w:t>
            </w:r>
          </w:p>
        </w:tc>
        <w:tc>
          <w:tcPr>
            <w:tcW w:w="158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spacing w:after="0" w:line="134" w:lineRule="exact"/>
              <w:rPr>
                <w:sz w:val="20"/>
                <w:szCs w:val="20"/>
                <w:color w:val="auto"/>
              </w:rPr>
            </w:pPr>
            <w:r>
              <w:rPr>
                <w:rFonts w:ascii="Arial" w:cs="Arial" w:eastAsia="Arial" w:hAnsi="Arial"/>
                <w:sz w:val="14"/>
                <w:szCs w:val="14"/>
                <w:color w:val="auto"/>
                <w:w w:val="92"/>
              </w:rPr>
              <w:t>$244,000</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0"/>
              </w:rPr>
              <w:t>$70,959</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$1,290,759</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$975,800</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40,000 shares:</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$0 value</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jc w:val="center"/>
              <w:ind w:left="9"/>
              <w:spacing w:after="0"/>
              <w:rPr>
                <w:sz w:val="20"/>
                <w:szCs w:val="20"/>
                <w:color w:val="auto"/>
              </w:rPr>
            </w:pPr>
            <w:r>
              <w:rPr>
                <w:rFonts w:ascii="Arial" w:cs="Arial" w:eastAsia="Arial" w:hAnsi="Arial"/>
                <w:sz w:val="14"/>
                <w:szCs w:val="14"/>
                <w:b w:val="1"/>
                <w:bCs w:val="1"/>
                <w:color w:val="auto"/>
                <w:w w:val="99"/>
              </w:rPr>
              <w:t>(8)(4)</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(9)</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Death</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color w:val="auto"/>
                <w:w w:val="99"/>
              </w:rPr>
              <w:t>—</w:t>
            </w:r>
          </w:p>
        </w:tc>
        <w:tc>
          <w:tcPr>
            <w:tcW w:w="158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spacing w:after="0" w:line="134" w:lineRule="exact"/>
              <w:rPr>
                <w:sz w:val="20"/>
                <w:szCs w:val="20"/>
                <w:color w:val="auto"/>
              </w:rPr>
            </w:pPr>
            <w:r>
              <w:rPr>
                <w:rFonts w:ascii="Arial" w:cs="Arial" w:eastAsia="Arial" w:hAnsi="Arial"/>
                <w:sz w:val="14"/>
                <w:szCs w:val="14"/>
                <w:color w:val="auto"/>
                <w:w w:val="92"/>
              </w:rPr>
              <w:t>$244,000</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0"/>
              </w:rPr>
              <w:t>$70,959</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$1,290,759</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$975,800</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40,000 shares:</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$0 value</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jc w:val="center"/>
              <w:ind w:left="9"/>
              <w:spacing w:after="0"/>
              <w:rPr>
                <w:sz w:val="20"/>
                <w:szCs w:val="20"/>
                <w:color w:val="auto"/>
              </w:rPr>
            </w:pPr>
            <w:r>
              <w:rPr>
                <w:rFonts w:ascii="Arial" w:cs="Arial" w:eastAsia="Arial" w:hAnsi="Arial"/>
                <w:sz w:val="14"/>
                <w:szCs w:val="14"/>
                <w:b w:val="1"/>
                <w:bCs w:val="1"/>
                <w:color w:val="auto"/>
                <w:w w:val="99"/>
              </w:rPr>
              <w:t>(8)(4)</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(9)</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3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Cause</w:t>
            </w:r>
          </w:p>
        </w:tc>
        <w:tc>
          <w:tcPr>
            <w:tcW w:w="132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ind w:left="9"/>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0"/>
              </w:rPr>
              <w:t>$70,959</w:t>
            </w: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ind w:left="9"/>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$70,959</w:t>
            </w:r>
          </w:p>
        </w:tc>
        <w:tc>
          <w:tcPr>
            <w:tcW w:w="0" w:type="dxa"/>
            <w:vAlign w:val="bottom"/>
          </w:tcPr>
          <w:p>
            <w:pPr>
              <w:spacing w:after="0"/>
              <w:rPr>
                <w:sz w:val="1"/>
                <w:szCs w:val="1"/>
                <w:color w:val="auto"/>
              </w:rPr>
            </w:pPr>
          </w:p>
        </w:tc>
      </w:tr>
      <w:tr>
        <w:trPr>
          <w:trHeight w:val="266"/>
        </w:trPr>
        <w:tc>
          <w:tcPr>
            <w:tcW w:w="1300" w:type="dxa"/>
            <w:vAlign w:val="bottom"/>
            <w:tcBorders>
              <w:left w:val="single" w:sz="8" w:color="auto"/>
            </w:tcBorders>
          </w:tcPr>
          <w:p>
            <w:pPr>
              <w:spacing w:after="0"/>
              <w:rPr>
                <w:sz w:val="23"/>
                <w:szCs w:val="23"/>
                <w:color w:val="auto"/>
              </w:rPr>
            </w:pPr>
          </w:p>
        </w:tc>
        <w:tc>
          <w:tcPr>
            <w:tcW w:w="1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1300" w:type="dxa"/>
            <w:vAlign w:val="bottom"/>
            <w:tcBorders>
              <w:left w:val="single" w:sz="8" w:color="auto"/>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Ronald J. Halls</w:t>
      </w:r>
    </w:p>
    <w:p>
      <w:pPr>
        <w:spacing w:after="0" w:line="173" w:lineRule="exact"/>
        <w:rPr>
          <w:sz w:val="20"/>
          <w:szCs w:val="20"/>
          <w:color w:val="auto"/>
        </w:rPr>
      </w:pPr>
    </w:p>
    <w:p>
      <w:pPr>
        <w:ind w:left="420" w:hanging="314"/>
        <w:spacing w:after="0"/>
        <w:tabs>
          <w:tab w:leader="none" w:pos="4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severance amount equals 52 weeks’ salary.</w:t>
      </w:r>
    </w:p>
    <w:p>
      <w:pPr>
        <w:spacing w:after="0" w:line="132" w:lineRule="exact"/>
        <w:rPr>
          <w:rFonts w:ascii="Arial" w:cs="Arial" w:eastAsia="Arial" w:hAnsi="Arial"/>
          <w:sz w:val="19"/>
          <w:szCs w:val="19"/>
          <w:color w:val="auto"/>
        </w:rPr>
      </w:pPr>
    </w:p>
    <w:p>
      <w:pPr>
        <w:ind w:left="420" w:right="220" w:hanging="314"/>
        <w:spacing w:after="0" w:line="267" w:lineRule="auto"/>
        <w:tabs>
          <w:tab w:leader="none" w:pos="4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Benefit payable as of February 2, 2008 in a lump sum under the Foot Locker Excess Cash Balance Plan.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0" w:name="page51"/>
    <w:bookmarkEnd w:id="50"/>
    <w:p>
      <w:pPr>
        <w:ind w:left="320" w:right="40" w:hanging="314"/>
        <w:spacing w:after="0" w:line="267" w:lineRule="auto"/>
        <w:tabs>
          <w:tab w:leader="none" w:pos="3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This amount reflects the estimated cost to the Company of payments to Mr. Halls to reimburse him for the difference between the cost of the COBRA continuation coverage premium and the amount he would have paid for medical and dental coverage as an active associate for 18 months following his termination.</w:t>
      </w:r>
    </w:p>
    <w:p>
      <w:pPr>
        <w:spacing w:after="0" w:line="81" w:lineRule="exact"/>
        <w:rPr>
          <w:rFonts w:ascii="Arial" w:cs="Arial" w:eastAsia="Arial" w:hAnsi="Arial"/>
          <w:sz w:val="19"/>
          <w:szCs w:val="19"/>
          <w:color w:val="auto"/>
        </w:rPr>
      </w:pPr>
    </w:p>
    <w:p>
      <w:pPr>
        <w:ind w:left="320" w:hanging="314"/>
        <w:spacing w:after="0" w:line="283" w:lineRule="auto"/>
        <w:tabs>
          <w:tab w:leader="none" w:pos="3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fair market value of a share of the Company’s stock on February 2, 2008 was less than the exercise price of each of the unvested options that would be accelerated, so the intrinsic value of the option on that date was $0.</w:t>
      </w:r>
    </w:p>
    <w:p>
      <w:pPr>
        <w:spacing w:after="0" w:line="65" w:lineRule="exact"/>
        <w:rPr>
          <w:rFonts w:ascii="Arial" w:cs="Arial" w:eastAsia="Arial" w:hAnsi="Arial"/>
          <w:sz w:val="19"/>
          <w:szCs w:val="19"/>
          <w:color w:val="auto"/>
        </w:rPr>
      </w:pPr>
    </w:p>
    <w:p>
      <w:pPr>
        <w:ind w:left="320" w:hanging="314"/>
        <w:spacing w:after="0"/>
        <w:tabs>
          <w:tab w:leader="none" w:pos="3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severance amount equals 104 weeks’ salary plus two times annual bonus at target.</w:t>
      </w:r>
    </w:p>
    <w:p>
      <w:pPr>
        <w:spacing w:after="0" w:line="132" w:lineRule="exact"/>
        <w:rPr>
          <w:rFonts w:ascii="Arial" w:cs="Arial" w:eastAsia="Arial" w:hAnsi="Arial"/>
          <w:sz w:val="19"/>
          <w:szCs w:val="19"/>
          <w:color w:val="auto"/>
        </w:rPr>
      </w:pPr>
    </w:p>
    <w:p>
      <w:pPr>
        <w:ind w:left="320" w:hanging="314"/>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amount represents the value of 70,000 shares of restricted stock that would vest on termination. The shares were valued at $13.94.</w:t>
      </w:r>
    </w:p>
    <w:p>
      <w:pPr>
        <w:spacing w:after="0" w:line="144" w:lineRule="exact"/>
        <w:rPr>
          <w:rFonts w:ascii="Arial" w:cs="Arial" w:eastAsia="Arial" w:hAnsi="Arial"/>
          <w:sz w:val="18"/>
          <w:szCs w:val="18"/>
          <w:color w:val="auto"/>
        </w:rPr>
      </w:pPr>
    </w:p>
    <w:p>
      <w:pPr>
        <w:ind w:left="320" w:right="100" w:hanging="314"/>
        <w:spacing w:after="0" w:line="262" w:lineRule="auto"/>
        <w:tabs>
          <w:tab w:leader="none" w:pos="3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the payments or benefits received by the executive following a Change in Control are subject to the excise tax under Section 4999 of the Internal Revenue Code, then the Company would automatically reduce Mr. Halls’ payments and benefits to an amount equal to $1 less than the amount that would subject him to the excise tax, as long as the reduced amount would result in a greater benefit to him compared to the unreduced amount on a net after-tax basis.</w:t>
      </w:r>
    </w:p>
    <w:p>
      <w:pPr>
        <w:spacing w:after="0" w:line="85" w:lineRule="exact"/>
        <w:rPr>
          <w:rFonts w:ascii="Arial" w:cs="Arial" w:eastAsia="Arial" w:hAnsi="Arial"/>
          <w:sz w:val="19"/>
          <w:szCs w:val="19"/>
          <w:color w:val="auto"/>
        </w:rPr>
      </w:pPr>
    </w:p>
    <w:p>
      <w:pPr>
        <w:ind w:left="320" w:right="140" w:hanging="314"/>
        <w:spacing w:after="0" w:line="267" w:lineRule="auto"/>
        <w:tabs>
          <w:tab w:leader="none" w:pos="3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70,000 shares of restricted stock, valued at $13.94.</w:t>
      </w:r>
    </w:p>
    <w:p>
      <w:pPr>
        <w:spacing w:after="0" w:line="81" w:lineRule="exact"/>
        <w:rPr>
          <w:rFonts w:ascii="Arial" w:cs="Arial" w:eastAsia="Arial" w:hAnsi="Arial"/>
          <w:sz w:val="19"/>
          <w:szCs w:val="19"/>
          <w:color w:val="auto"/>
        </w:rPr>
      </w:pPr>
    </w:p>
    <w:p>
      <w:pPr>
        <w:ind w:left="320" w:hanging="314"/>
        <w:spacing w:after="0"/>
        <w:tabs>
          <w:tab w:leader="none" w:pos="3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SERP benefit payable in a lump sum following determination of disability or the date of death.</w:t>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150495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40" w:top="613" w:right="299" w:bottom="1440" w:gutter="0" w:footer="0" w:header="0"/>
        </w:sectPr>
      </w:pPr>
    </w:p>
    <w:bookmarkStart w:id="51" w:name="page52"/>
    <w:bookmarkEnd w:id="51"/>
    <w:p>
      <w:pPr>
        <w:jc w:val="center"/>
        <w:spacing w:after="0"/>
        <w:rPr>
          <w:sz w:val="20"/>
          <w:szCs w:val="20"/>
          <w:color w:val="auto"/>
        </w:rPr>
      </w:pPr>
      <w:r>
        <w:rPr>
          <w:rFonts w:ascii="Arial" w:cs="Arial" w:eastAsia="Arial" w:hAnsi="Arial"/>
          <w:sz w:val="19"/>
          <w:szCs w:val="19"/>
          <w:b w:val="1"/>
          <w:bCs w:val="1"/>
          <w:color w:val="auto"/>
        </w:rPr>
        <w:t>GARY M. BAHLER</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300" w:type="dxa"/>
            <w:vAlign w:val="bottom"/>
            <w:tcBorders>
              <w:top w:val="single" w:sz="8" w:color="auto"/>
              <w:left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0"/>
              </w:rPr>
              <w:t>Accelerated</w:t>
            </w:r>
          </w:p>
        </w:tc>
        <w:tc>
          <w:tcPr>
            <w:tcW w:w="1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8"/>
              </w:rPr>
              <w:t>Vesting of</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90"/>
              </w:rPr>
              <w:t>Tax</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0"/>
              </w:rPr>
              <w:t>Restricted</w:t>
            </w:r>
          </w:p>
        </w:tc>
        <w:tc>
          <w:tcPr>
            <w:tcW w:w="13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420" w:type="dxa"/>
            <w:vAlign w:val="bottom"/>
          </w:tcPr>
          <w:p>
            <w:pPr>
              <w:spacing w:after="0"/>
              <w:rPr>
                <w:sz w:val="12"/>
                <w:szCs w:val="12"/>
                <w:color w:val="auto"/>
              </w:rPr>
            </w:pPr>
          </w:p>
        </w:tc>
        <w:tc>
          <w:tcPr>
            <w:tcW w:w="8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88"/>
              </w:rPr>
              <w:t>Gross-</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Reason for</w:t>
            </w:r>
          </w:p>
        </w:tc>
        <w:tc>
          <w:tcPr>
            <w:tcW w:w="13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88"/>
              </w:rPr>
              <w:t>Severance</w:t>
            </w:r>
          </w:p>
        </w:tc>
        <w:tc>
          <w:tcPr>
            <w:tcW w:w="158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2"/>
              </w:rPr>
              <w:t>Stock and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SERP</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Health</w:t>
            </w:r>
          </w:p>
        </w:tc>
        <w:tc>
          <w:tcPr>
            <w:tcW w:w="142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2"/>
              </w:rPr>
              <w:t>Outplacement</w:t>
            </w:r>
          </w:p>
        </w:tc>
        <w:tc>
          <w:tcPr>
            <w:tcW w:w="82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96"/>
              </w:rPr>
              <w:t>Up</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Termination</w:t>
            </w:r>
          </w:p>
        </w:tc>
        <w:tc>
          <w:tcPr>
            <w:tcW w:w="1320" w:type="dxa"/>
            <w:vAlign w:val="bottom"/>
          </w:tcPr>
          <w:p>
            <w:pPr>
              <w:jc w:val="center"/>
              <w:ind w:left="69"/>
              <w:spacing w:after="0"/>
              <w:rPr>
                <w:sz w:val="20"/>
                <w:szCs w:val="20"/>
                <w:color w:val="auto"/>
              </w:rPr>
            </w:pPr>
            <w:r>
              <w:rPr>
                <w:rFonts w:ascii="Arial" w:cs="Arial" w:eastAsia="Arial" w:hAnsi="Arial"/>
                <w:sz w:val="14"/>
                <w:szCs w:val="14"/>
                <w:b w:val="1"/>
                <w:bCs w:val="1"/>
                <w:color w:val="auto"/>
                <w:w w:val="92"/>
              </w:rPr>
              <w:t>Payment</w:t>
            </w:r>
          </w:p>
        </w:tc>
        <w:tc>
          <w:tcPr>
            <w:tcW w:w="1580" w:type="dxa"/>
            <w:vAlign w:val="bottom"/>
          </w:tcPr>
          <w:p>
            <w:pPr>
              <w:jc w:val="center"/>
              <w:ind w:left="9"/>
              <w:spacing w:after="0"/>
              <w:rPr>
                <w:sz w:val="20"/>
                <w:szCs w:val="20"/>
                <w:color w:val="auto"/>
              </w:rPr>
            </w:pPr>
            <w:r>
              <w:rPr>
                <w:rFonts w:ascii="Arial" w:cs="Arial" w:eastAsia="Arial" w:hAnsi="Arial"/>
                <w:sz w:val="14"/>
                <w:szCs w:val="14"/>
                <w:b w:val="1"/>
                <w:bCs w:val="1"/>
                <w:color w:val="auto"/>
                <w:w w:val="94"/>
              </w:rPr>
              <w:t>Options</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Benefit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Plan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Benefits</w:t>
            </w:r>
          </w:p>
        </w:tc>
        <w:tc>
          <w:tcPr>
            <w:tcW w:w="1420" w:type="dxa"/>
            <w:vAlign w:val="bottom"/>
          </w:tcPr>
          <w:p>
            <w:pPr>
              <w:jc w:val="center"/>
              <w:ind w:left="9"/>
              <w:spacing w:after="0"/>
              <w:rPr>
                <w:sz w:val="20"/>
                <w:szCs w:val="20"/>
                <w:color w:val="auto"/>
              </w:rPr>
            </w:pPr>
            <w:r>
              <w:rPr>
                <w:rFonts w:ascii="Arial" w:cs="Arial" w:eastAsia="Arial" w:hAnsi="Arial"/>
                <w:sz w:val="14"/>
                <w:szCs w:val="14"/>
                <w:b w:val="1"/>
                <w:bCs w:val="1"/>
                <w:color w:val="auto"/>
                <w:w w:val="86"/>
              </w:rPr>
              <w:t>Services</w:t>
            </w:r>
          </w:p>
        </w:tc>
        <w:tc>
          <w:tcPr>
            <w:tcW w:w="820" w:type="dxa"/>
            <w:vAlign w:val="bottom"/>
          </w:tcPr>
          <w:p>
            <w:pPr>
              <w:jc w:val="center"/>
              <w:ind w:left="89"/>
              <w:spacing w:after="0"/>
              <w:rPr>
                <w:sz w:val="20"/>
                <w:szCs w:val="20"/>
                <w:color w:val="auto"/>
              </w:rPr>
            </w:pPr>
            <w:r>
              <w:rPr>
                <w:rFonts w:ascii="Arial" w:cs="Arial" w:eastAsia="Arial" w:hAnsi="Arial"/>
                <w:sz w:val="14"/>
                <w:szCs w:val="14"/>
                <w:b w:val="1"/>
                <w:bCs w:val="1"/>
                <w:color w:val="auto"/>
                <w:w w:val="92"/>
              </w:rPr>
              <w:t>Payment</w:t>
            </w:r>
          </w:p>
        </w:tc>
        <w:tc>
          <w:tcPr>
            <w:tcW w:w="760" w:type="dxa"/>
            <w:vAlign w:val="bottom"/>
            <w:tcBorders>
              <w:right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1300" w:type="dxa"/>
            <w:vAlign w:val="bottom"/>
            <w:tcBorders>
              <w:left w:val="single" w:sz="8" w:color="auto"/>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By Company</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b w:val="1"/>
                <w:bCs w:val="1"/>
                <w:color w:val="auto"/>
                <w:w w:val="88"/>
              </w:rPr>
              <w:t>Severance:</w:t>
            </w:r>
          </w:p>
        </w:tc>
        <w:tc>
          <w:tcPr>
            <w:tcW w:w="158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spacing w:after="0" w:line="134" w:lineRule="exact"/>
              <w:rPr>
                <w:sz w:val="20"/>
                <w:szCs w:val="20"/>
                <w:color w:val="auto"/>
              </w:rPr>
            </w:pPr>
            <w:r>
              <w:rPr>
                <w:rFonts w:ascii="Arial" w:cs="Arial" w:eastAsia="Arial" w:hAnsi="Arial"/>
                <w:sz w:val="14"/>
                <w:szCs w:val="14"/>
                <w:color w:val="auto"/>
                <w:w w:val="92"/>
              </w:rPr>
              <w:t>$587,555</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2"/>
              </w:rPr>
              <w:t>$250,203</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0"/>
              </w:rPr>
              <w:t>$15,000</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$1,806,830</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ind w:left="140"/>
              <w:spacing w:after="0" w:line="153" w:lineRule="exact"/>
              <w:rPr>
                <w:sz w:val="20"/>
                <w:szCs w:val="20"/>
                <w:color w:val="auto"/>
              </w:rPr>
            </w:pPr>
            <w:r>
              <w:rPr>
                <w:rFonts w:ascii="Arial" w:cs="Arial" w:eastAsia="Arial" w:hAnsi="Arial"/>
                <w:sz w:val="14"/>
                <w:szCs w:val="14"/>
                <w:color w:val="auto"/>
              </w:rPr>
              <w:t>Without</w:t>
            </w:r>
          </w:p>
        </w:tc>
        <w:tc>
          <w:tcPr>
            <w:tcW w:w="1320" w:type="dxa"/>
            <w:vAlign w:val="bottom"/>
          </w:tcPr>
          <w:p>
            <w:pPr>
              <w:jc w:val="center"/>
              <w:ind w:left="69"/>
              <w:spacing w:after="0" w:line="153" w:lineRule="exact"/>
              <w:rPr>
                <w:sz w:val="20"/>
                <w:szCs w:val="20"/>
                <w:color w:val="auto"/>
              </w:rPr>
            </w:pPr>
            <w:r>
              <w:rPr>
                <w:rFonts w:ascii="Arial" w:cs="Arial" w:eastAsia="Arial" w:hAnsi="Arial"/>
                <w:sz w:val="14"/>
                <w:szCs w:val="14"/>
                <w:color w:val="auto"/>
                <w:w w:val="92"/>
              </w:rPr>
              <w:t>$954,072</w:t>
            </w: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Cause</w:t>
            </w: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No acceleration</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of vesting</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No acceleration</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00" w:type="dxa"/>
            <w:vAlign w:val="bottom"/>
            <w:tcBorders>
              <w:left w:val="single" w:sz="8" w:color="auto"/>
            </w:tcBorders>
          </w:tcPr>
          <w:p>
            <w:pPr>
              <w:spacing w:after="0"/>
              <w:rPr>
                <w:sz w:val="15"/>
                <w:szCs w:val="15"/>
                <w:color w:val="auto"/>
              </w:rPr>
            </w:pPr>
          </w:p>
        </w:tc>
        <w:tc>
          <w:tcPr>
            <w:tcW w:w="1320" w:type="dxa"/>
            <w:vAlign w:val="bottom"/>
            <w:vMerge w:val="restart"/>
          </w:tcPr>
          <w:p>
            <w:pPr>
              <w:jc w:val="center"/>
              <w:ind w:left="89"/>
              <w:spacing w:after="0"/>
              <w:rPr>
                <w:sz w:val="20"/>
                <w:szCs w:val="20"/>
                <w:color w:val="auto"/>
              </w:rPr>
            </w:pPr>
            <w:r>
              <w:rPr>
                <w:rFonts w:ascii="Arial" w:cs="Arial" w:eastAsia="Arial" w:hAnsi="Arial"/>
                <w:sz w:val="14"/>
                <w:szCs w:val="14"/>
                <w:b w:val="1"/>
                <w:bCs w:val="1"/>
                <w:color w:val="auto"/>
                <w:w w:val="93"/>
              </w:rPr>
              <w:t>(1)</w:t>
            </w:r>
          </w:p>
        </w:tc>
        <w:tc>
          <w:tcPr>
            <w:tcW w:w="1580" w:type="dxa"/>
            <w:vAlign w:val="bottom"/>
          </w:tcPr>
          <w:p>
            <w:pPr>
              <w:ind w:left="260"/>
              <w:spacing w:after="0"/>
              <w:rPr>
                <w:sz w:val="20"/>
                <w:szCs w:val="20"/>
                <w:color w:val="auto"/>
              </w:rPr>
            </w:pPr>
            <w:r>
              <w:rPr>
                <w:rFonts w:ascii="Arial" w:cs="Arial" w:eastAsia="Arial" w:hAnsi="Arial"/>
                <w:sz w:val="14"/>
                <w:szCs w:val="14"/>
                <w:color w:val="auto"/>
              </w:rPr>
              <w:t>of vesting</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(4)</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Borders>
              <w:left w:val="single" w:sz="8" w:color="auto"/>
            </w:tcBorders>
          </w:tcPr>
          <w:p>
            <w:pPr>
              <w:spacing w:after="0"/>
              <w:rPr>
                <w:sz w:val="15"/>
                <w:szCs w:val="15"/>
                <w:color w:val="auto"/>
              </w:rPr>
            </w:pPr>
          </w:p>
        </w:tc>
        <w:tc>
          <w:tcPr>
            <w:tcW w:w="132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By Executive</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b w:val="1"/>
                <w:bCs w:val="1"/>
                <w:color w:val="auto"/>
                <w:w w:val="88"/>
              </w:rPr>
              <w:t>Severance:</w:t>
            </w:r>
          </w:p>
        </w:tc>
        <w:tc>
          <w:tcPr>
            <w:tcW w:w="158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spacing w:after="0" w:line="134" w:lineRule="exact"/>
              <w:rPr>
                <w:sz w:val="20"/>
                <w:szCs w:val="20"/>
                <w:color w:val="auto"/>
              </w:rPr>
            </w:pPr>
            <w:r>
              <w:rPr>
                <w:rFonts w:ascii="Arial" w:cs="Arial" w:eastAsia="Arial" w:hAnsi="Arial"/>
                <w:sz w:val="14"/>
                <w:szCs w:val="14"/>
                <w:color w:val="auto"/>
                <w:w w:val="92"/>
              </w:rPr>
              <w:t>$587,555</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2"/>
              </w:rPr>
              <w:t>$250,203</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0"/>
              </w:rPr>
              <w:t>$15,000</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$1,806,830</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ind w:left="140"/>
              <w:spacing w:after="0" w:line="153" w:lineRule="exact"/>
              <w:rPr>
                <w:sz w:val="20"/>
                <w:szCs w:val="20"/>
                <w:color w:val="auto"/>
              </w:rPr>
            </w:pPr>
            <w:r>
              <w:rPr>
                <w:rFonts w:ascii="Arial" w:cs="Arial" w:eastAsia="Arial" w:hAnsi="Arial"/>
                <w:sz w:val="14"/>
                <w:szCs w:val="14"/>
                <w:color w:val="auto"/>
              </w:rPr>
              <w:t>for Good</w:t>
            </w:r>
          </w:p>
        </w:tc>
        <w:tc>
          <w:tcPr>
            <w:tcW w:w="1320" w:type="dxa"/>
            <w:vAlign w:val="bottom"/>
          </w:tcPr>
          <w:p>
            <w:pPr>
              <w:jc w:val="center"/>
              <w:ind w:left="69"/>
              <w:spacing w:after="0" w:line="153" w:lineRule="exact"/>
              <w:rPr>
                <w:sz w:val="20"/>
                <w:szCs w:val="20"/>
                <w:color w:val="auto"/>
              </w:rPr>
            </w:pPr>
            <w:r>
              <w:rPr>
                <w:rFonts w:ascii="Arial" w:cs="Arial" w:eastAsia="Arial" w:hAnsi="Arial"/>
                <w:sz w:val="14"/>
                <w:szCs w:val="14"/>
                <w:color w:val="auto"/>
                <w:w w:val="92"/>
              </w:rPr>
              <w:t>$954,072</w:t>
            </w: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Reason</w:t>
            </w: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No acceleration</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of vesting</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23,334 shares:</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$0 value</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spacing w:after="0"/>
              <w:rPr>
                <w:sz w:val="16"/>
                <w:szCs w:val="16"/>
                <w:color w:val="auto"/>
              </w:rPr>
            </w:pPr>
          </w:p>
        </w:tc>
        <w:tc>
          <w:tcPr>
            <w:tcW w:w="1320" w:type="dxa"/>
            <w:vAlign w:val="bottom"/>
          </w:tcPr>
          <w:p>
            <w:pPr>
              <w:jc w:val="center"/>
              <w:ind w:left="89"/>
              <w:spacing w:after="0"/>
              <w:rPr>
                <w:sz w:val="20"/>
                <w:szCs w:val="20"/>
                <w:color w:val="auto"/>
              </w:rPr>
            </w:pPr>
            <w:r>
              <w:rPr>
                <w:rFonts w:ascii="Arial" w:cs="Arial" w:eastAsia="Arial" w:hAnsi="Arial"/>
                <w:sz w:val="14"/>
                <w:szCs w:val="14"/>
                <w:b w:val="1"/>
                <w:bCs w:val="1"/>
                <w:color w:val="auto"/>
                <w:w w:val="93"/>
              </w:rPr>
              <w:t>(1)</w:t>
            </w:r>
          </w:p>
        </w:tc>
        <w:tc>
          <w:tcPr>
            <w:tcW w:w="1580" w:type="dxa"/>
            <w:vAlign w:val="bottom"/>
          </w:tcPr>
          <w:p>
            <w:pPr>
              <w:jc w:val="center"/>
              <w:ind w:left="9"/>
              <w:spacing w:after="0"/>
              <w:rPr>
                <w:sz w:val="20"/>
                <w:szCs w:val="20"/>
                <w:color w:val="auto"/>
              </w:rPr>
            </w:pPr>
            <w:r>
              <w:rPr>
                <w:rFonts w:ascii="Arial" w:cs="Arial" w:eastAsia="Arial" w:hAnsi="Arial"/>
                <w:sz w:val="14"/>
                <w:szCs w:val="14"/>
                <w:b w:val="1"/>
                <w:bCs w:val="1"/>
                <w:color w:val="auto"/>
              </w:rPr>
              <w:t>(5)</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00" w:type="dxa"/>
            <w:vAlign w:val="bottom"/>
            <w:tcBorders>
              <w:left w:val="single" w:sz="8" w:color="auto"/>
            </w:tcBorders>
          </w:tcPr>
          <w:p>
            <w:pPr>
              <w:ind w:left="140"/>
              <w:spacing w:after="0" w:line="138" w:lineRule="exact"/>
              <w:rPr>
                <w:sz w:val="20"/>
                <w:szCs w:val="20"/>
                <w:color w:val="auto"/>
              </w:rPr>
            </w:pPr>
            <w:r>
              <w:rPr>
                <w:rFonts w:ascii="Arial" w:cs="Arial" w:eastAsia="Arial" w:hAnsi="Arial"/>
                <w:sz w:val="14"/>
                <w:szCs w:val="14"/>
                <w:color w:val="auto"/>
              </w:rPr>
              <w:t>Executive</w:t>
            </w:r>
          </w:p>
        </w:tc>
        <w:tc>
          <w:tcPr>
            <w:tcW w:w="1320" w:type="dxa"/>
            <w:vAlign w:val="bottom"/>
          </w:tcPr>
          <w:p>
            <w:pPr>
              <w:jc w:val="center"/>
              <w:ind w:left="69"/>
              <w:spacing w:after="0" w:line="138" w:lineRule="exact"/>
              <w:rPr>
                <w:sz w:val="20"/>
                <w:szCs w:val="20"/>
                <w:color w:val="auto"/>
              </w:rPr>
            </w:pPr>
            <w:r>
              <w:rPr>
                <w:rFonts w:ascii="Arial" w:cs="Arial" w:eastAsia="Arial" w:hAnsi="Arial"/>
                <w:sz w:val="14"/>
                <w:szCs w:val="14"/>
                <w:color w:val="auto"/>
                <w:w w:val="99"/>
              </w:rPr>
              <w:t>—</w:t>
            </w:r>
          </w:p>
        </w:tc>
        <w:tc>
          <w:tcPr>
            <w:tcW w:w="1580" w:type="dxa"/>
            <w:vAlign w:val="bottom"/>
          </w:tcPr>
          <w:p>
            <w:pPr>
              <w:jc w:val="center"/>
              <w:ind w:left="9"/>
              <w:spacing w:after="0" w:line="138" w:lineRule="exact"/>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line="138" w:lineRule="exact"/>
              <w:rPr>
                <w:sz w:val="20"/>
                <w:szCs w:val="20"/>
                <w:color w:val="auto"/>
              </w:rPr>
            </w:pPr>
            <w:r>
              <w:rPr>
                <w:rFonts w:ascii="Arial" w:cs="Arial" w:eastAsia="Arial" w:hAnsi="Arial"/>
                <w:sz w:val="14"/>
                <w:szCs w:val="14"/>
                <w:color w:val="auto"/>
                <w:w w:val="92"/>
              </w:rPr>
              <w:t>$587,555</w:t>
            </w:r>
          </w:p>
        </w:tc>
        <w:tc>
          <w:tcPr>
            <w:tcW w:w="1500" w:type="dxa"/>
            <w:vAlign w:val="bottom"/>
          </w:tcPr>
          <w:p>
            <w:pPr>
              <w:jc w:val="center"/>
              <w:spacing w:after="0" w:line="138" w:lineRule="exact"/>
              <w:rPr>
                <w:sz w:val="20"/>
                <w:szCs w:val="20"/>
                <w:color w:val="auto"/>
              </w:rPr>
            </w:pPr>
            <w:r>
              <w:rPr>
                <w:rFonts w:ascii="Arial" w:cs="Arial" w:eastAsia="Arial" w:hAnsi="Arial"/>
                <w:sz w:val="14"/>
                <w:szCs w:val="14"/>
                <w:color w:val="auto"/>
                <w:w w:val="92"/>
              </w:rPr>
              <w:t>$250,203</w:t>
            </w:r>
          </w:p>
        </w:tc>
        <w:tc>
          <w:tcPr>
            <w:tcW w:w="1420" w:type="dxa"/>
            <w:vAlign w:val="bottom"/>
          </w:tcPr>
          <w:p>
            <w:pPr>
              <w:jc w:val="center"/>
              <w:spacing w:after="0" w:line="138" w:lineRule="exact"/>
              <w:rPr>
                <w:sz w:val="20"/>
                <w:szCs w:val="20"/>
                <w:color w:val="auto"/>
              </w:rPr>
            </w:pPr>
            <w:r>
              <w:rPr>
                <w:rFonts w:ascii="Arial" w:cs="Arial" w:eastAsia="Arial" w:hAnsi="Arial"/>
                <w:sz w:val="14"/>
                <w:szCs w:val="14"/>
                <w:color w:val="auto"/>
                <w:w w:val="90"/>
              </w:rPr>
              <w:t>$15,000</w:t>
            </w:r>
          </w:p>
        </w:tc>
        <w:tc>
          <w:tcPr>
            <w:tcW w:w="1420" w:type="dxa"/>
            <w:vAlign w:val="bottom"/>
          </w:tcPr>
          <w:p>
            <w:pPr>
              <w:jc w:val="center"/>
              <w:ind w:left="9"/>
              <w:spacing w:after="0" w:line="138"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8"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color w:val="auto"/>
                <w:w w:val="92"/>
              </w:rPr>
              <w:t>$852,758</w:t>
            </w: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Resigns</w:t>
            </w:r>
          </w:p>
        </w:tc>
        <w:tc>
          <w:tcPr>
            <w:tcW w:w="1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Before End</w:t>
            </w:r>
          </w:p>
        </w:tc>
        <w:tc>
          <w:tcPr>
            <w:tcW w:w="1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of Term</w:t>
            </w:r>
          </w:p>
        </w:tc>
        <w:tc>
          <w:tcPr>
            <w:tcW w:w="1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(4)</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Borders>
              <w:lef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Termination</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b w:val="1"/>
                <w:bCs w:val="1"/>
                <w:color w:val="auto"/>
                <w:w w:val="88"/>
              </w:rPr>
              <w:t>Severance:</w:t>
            </w:r>
          </w:p>
        </w:tc>
        <w:tc>
          <w:tcPr>
            <w:tcW w:w="158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spacing w:after="0" w:line="134" w:lineRule="exact"/>
              <w:rPr>
                <w:sz w:val="20"/>
                <w:szCs w:val="20"/>
                <w:color w:val="auto"/>
              </w:rPr>
            </w:pPr>
            <w:r>
              <w:rPr>
                <w:rFonts w:ascii="Arial" w:cs="Arial" w:eastAsia="Arial" w:hAnsi="Arial"/>
                <w:sz w:val="14"/>
                <w:szCs w:val="14"/>
                <w:color w:val="auto"/>
                <w:w w:val="92"/>
              </w:rPr>
              <w:t>$587,555</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2"/>
              </w:rPr>
              <w:t>$250,203</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0"/>
              </w:rPr>
              <w:t>$15,000</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$3,247,858</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ind w:left="140"/>
              <w:spacing w:after="0" w:line="153" w:lineRule="exact"/>
              <w:rPr>
                <w:sz w:val="20"/>
                <w:szCs w:val="20"/>
                <w:color w:val="auto"/>
              </w:rPr>
            </w:pPr>
            <w:r>
              <w:rPr>
                <w:rFonts w:ascii="Arial" w:cs="Arial" w:eastAsia="Arial" w:hAnsi="Arial"/>
                <w:sz w:val="14"/>
                <w:szCs w:val="14"/>
                <w:color w:val="auto"/>
              </w:rPr>
              <w:t>following</w:t>
            </w:r>
          </w:p>
        </w:tc>
        <w:tc>
          <w:tcPr>
            <w:tcW w:w="1320" w:type="dxa"/>
            <w:vAlign w:val="bottom"/>
          </w:tcPr>
          <w:p>
            <w:pPr>
              <w:jc w:val="center"/>
              <w:ind w:left="89"/>
              <w:spacing w:after="0" w:line="153" w:lineRule="exact"/>
              <w:rPr>
                <w:sz w:val="20"/>
                <w:szCs w:val="20"/>
                <w:color w:val="auto"/>
              </w:rPr>
            </w:pPr>
            <w:r>
              <w:rPr>
                <w:rFonts w:ascii="Arial" w:cs="Arial" w:eastAsia="Arial" w:hAnsi="Arial"/>
                <w:sz w:val="14"/>
                <w:szCs w:val="14"/>
                <w:color w:val="auto"/>
                <w:w w:val="91"/>
              </w:rPr>
              <w:t>$1,837,500</w:t>
            </w: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Change in</w:t>
            </w: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$557,600</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Control</w:t>
            </w:r>
          </w:p>
        </w:tc>
        <w:tc>
          <w:tcPr>
            <w:tcW w:w="1320" w:type="dxa"/>
            <w:vAlign w:val="bottom"/>
          </w:tcPr>
          <w:p>
            <w:pPr>
              <w:spacing w:after="0"/>
              <w:rPr>
                <w:sz w:val="15"/>
                <w:szCs w:val="15"/>
                <w:color w:val="auto"/>
              </w:rPr>
            </w:pPr>
          </w:p>
        </w:tc>
        <w:tc>
          <w:tcPr>
            <w:tcW w:w="15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45,001 shares:</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$0 value</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spacing w:after="0"/>
              <w:rPr>
                <w:sz w:val="16"/>
                <w:szCs w:val="16"/>
                <w:color w:val="auto"/>
              </w:rPr>
            </w:pPr>
          </w:p>
        </w:tc>
        <w:tc>
          <w:tcPr>
            <w:tcW w:w="1320" w:type="dxa"/>
            <w:vAlign w:val="bottom"/>
          </w:tcPr>
          <w:p>
            <w:pPr>
              <w:jc w:val="center"/>
              <w:ind w:left="89"/>
              <w:spacing w:after="0"/>
              <w:rPr>
                <w:sz w:val="20"/>
                <w:szCs w:val="20"/>
                <w:color w:val="auto"/>
              </w:rPr>
            </w:pPr>
            <w:r>
              <w:rPr>
                <w:rFonts w:ascii="Arial" w:cs="Arial" w:eastAsia="Arial" w:hAnsi="Arial"/>
                <w:sz w:val="14"/>
                <w:szCs w:val="14"/>
                <w:b w:val="1"/>
                <w:bCs w:val="1"/>
                <w:color w:val="auto"/>
                <w:w w:val="93"/>
              </w:rPr>
              <w:t>(6)</w:t>
            </w:r>
          </w:p>
        </w:tc>
        <w:tc>
          <w:tcPr>
            <w:tcW w:w="1580" w:type="dxa"/>
            <w:vAlign w:val="bottom"/>
          </w:tcPr>
          <w:p>
            <w:pPr>
              <w:jc w:val="center"/>
              <w:ind w:left="9"/>
              <w:spacing w:after="0"/>
              <w:rPr>
                <w:sz w:val="20"/>
                <w:szCs w:val="20"/>
                <w:color w:val="auto"/>
              </w:rPr>
            </w:pPr>
            <w:r>
              <w:rPr>
                <w:rFonts w:ascii="Arial" w:cs="Arial" w:eastAsia="Arial" w:hAnsi="Arial"/>
                <w:sz w:val="14"/>
                <w:szCs w:val="14"/>
                <w:b w:val="1"/>
                <w:bCs w:val="1"/>
                <w:color w:val="auto"/>
                <w:w w:val="99"/>
              </w:rPr>
              <w:t>(7)(5)</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420" w:type="dxa"/>
            <w:vAlign w:val="bottom"/>
          </w:tcPr>
          <w:p>
            <w:pPr>
              <w:spacing w:after="0"/>
              <w:rPr>
                <w:sz w:val="16"/>
                <w:szCs w:val="16"/>
                <w:color w:val="auto"/>
              </w:rPr>
            </w:pPr>
          </w:p>
        </w:tc>
        <w:tc>
          <w:tcPr>
            <w:tcW w:w="82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(8)</w:t>
            </w: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Disability</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color w:val="auto"/>
                <w:w w:val="99"/>
              </w:rPr>
              <w:t>—</w:t>
            </w:r>
          </w:p>
        </w:tc>
        <w:tc>
          <w:tcPr>
            <w:tcW w:w="158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spacing w:after="0" w:line="134" w:lineRule="exact"/>
              <w:rPr>
                <w:sz w:val="20"/>
                <w:szCs w:val="20"/>
                <w:color w:val="auto"/>
              </w:rPr>
            </w:pPr>
            <w:r>
              <w:rPr>
                <w:rFonts w:ascii="Arial" w:cs="Arial" w:eastAsia="Arial" w:hAnsi="Arial"/>
                <w:sz w:val="14"/>
                <w:szCs w:val="14"/>
                <w:color w:val="auto"/>
                <w:w w:val="92"/>
              </w:rPr>
              <w:t>$587,555</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2"/>
              </w:rPr>
              <w:t>$250,203</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0"/>
              </w:rPr>
              <w:t>$15,000</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$1,410,358</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$557,600</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23,334 shares:</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$0 value</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jc w:val="center"/>
              <w:ind w:left="9"/>
              <w:spacing w:after="0"/>
              <w:rPr>
                <w:sz w:val="20"/>
                <w:szCs w:val="20"/>
                <w:color w:val="auto"/>
              </w:rPr>
            </w:pPr>
            <w:r>
              <w:rPr>
                <w:rFonts w:ascii="Arial" w:cs="Arial" w:eastAsia="Arial" w:hAnsi="Arial"/>
                <w:sz w:val="14"/>
                <w:szCs w:val="14"/>
                <w:b w:val="1"/>
                <w:bCs w:val="1"/>
                <w:color w:val="auto"/>
                <w:w w:val="99"/>
              </w:rPr>
              <w:t>(9)(5)</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(10)</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Death</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color w:val="auto"/>
                <w:w w:val="99"/>
              </w:rPr>
              <w:t>—</w:t>
            </w:r>
          </w:p>
        </w:tc>
        <w:tc>
          <w:tcPr>
            <w:tcW w:w="158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300" w:type="dxa"/>
            <w:vAlign w:val="bottom"/>
          </w:tcPr>
          <w:p>
            <w:pPr>
              <w:jc w:val="center"/>
              <w:spacing w:after="0" w:line="134" w:lineRule="exact"/>
              <w:rPr>
                <w:sz w:val="20"/>
                <w:szCs w:val="20"/>
                <w:color w:val="auto"/>
              </w:rPr>
            </w:pPr>
            <w:r>
              <w:rPr>
                <w:rFonts w:ascii="Arial" w:cs="Arial" w:eastAsia="Arial" w:hAnsi="Arial"/>
                <w:sz w:val="14"/>
                <w:szCs w:val="14"/>
                <w:color w:val="auto"/>
                <w:w w:val="92"/>
              </w:rPr>
              <w:t>$587,555</w:t>
            </w:r>
          </w:p>
        </w:tc>
        <w:tc>
          <w:tcPr>
            <w:tcW w:w="1500" w:type="dxa"/>
            <w:vAlign w:val="bottom"/>
          </w:tcPr>
          <w:p>
            <w:pPr>
              <w:jc w:val="center"/>
              <w:spacing w:after="0" w:line="134" w:lineRule="exact"/>
              <w:rPr>
                <w:sz w:val="20"/>
                <w:szCs w:val="20"/>
                <w:color w:val="auto"/>
              </w:rPr>
            </w:pPr>
            <w:r>
              <w:rPr>
                <w:rFonts w:ascii="Arial" w:cs="Arial" w:eastAsia="Arial" w:hAnsi="Arial"/>
                <w:sz w:val="14"/>
                <w:szCs w:val="14"/>
                <w:color w:val="auto"/>
                <w:w w:val="92"/>
              </w:rPr>
              <w:t>$250,203</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$1,395,358</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$557,600</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58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580" w:type="dxa"/>
            <w:vAlign w:val="bottom"/>
          </w:tcPr>
          <w:p>
            <w:pPr>
              <w:ind w:left="260"/>
              <w:spacing w:after="0" w:line="149" w:lineRule="exact"/>
              <w:rPr>
                <w:sz w:val="20"/>
                <w:szCs w:val="20"/>
                <w:color w:val="auto"/>
              </w:rPr>
            </w:pPr>
            <w:r>
              <w:rPr>
                <w:rFonts w:ascii="Arial" w:cs="Arial" w:eastAsia="Arial" w:hAnsi="Arial"/>
                <w:sz w:val="14"/>
                <w:szCs w:val="14"/>
                <w:color w:val="auto"/>
              </w:rPr>
              <w:t>23,334 shares:</w:t>
            </w:r>
          </w:p>
        </w:tc>
        <w:tc>
          <w:tcPr>
            <w:tcW w:w="13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color w:val="auto"/>
              </w:rPr>
              <w:t>$0 value</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jc w:val="center"/>
              <w:ind w:left="9"/>
              <w:spacing w:after="0"/>
              <w:rPr>
                <w:sz w:val="20"/>
                <w:szCs w:val="20"/>
                <w:color w:val="auto"/>
              </w:rPr>
            </w:pPr>
            <w:r>
              <w:rPr>
                <w:rFonts w:ascii="Arial" w:cs="Arial" w:eastAsia="Arial" w:hAnsi="Arial"/>
                <w:sz w:val="14"/>
                <w:szCs w:val="14"/>
                <w:b w:val="1"/>
                <w:bCs w:val="1"/>
                <w:color w:val="auto"/>
                <w:w w:val="99"/>
              </w:rPr>
              <w:t>(9)(5)</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8"/>
              </w:rPr>
              <w:t>(10)</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3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Cause</w:t>
            </w:r>
          </w:p>
        </w:tc>
        <w:tc>
          <w:tcPr>
            <w:tcW w:w="132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580" w:type="dxa"/>
            <w:vAlign w:val="bottom"/>
          </w:tcPr>
          <w:p>
            <w:pPr>
              <w:jc w:val="center"/>
              <w:ind w:left="9"/>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$250,203</w:t>
            </w: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ind w:left="9"/>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$250,203</w:t>
            </w:r>
          </w:p>
        </w:tc>
        <w:tc>
          <w:tcPr>
            <w:tcW w:w="0" w:type="dxa"/>
            <w:vAlign w:val="bottom"/>
          </w:tcPr>
          <w:p>
            <w:pPr>
              <w:spacing w:after="0"/>
              <w:rPr>
                <w:sz w:val="1"/>
                <w:szCs w:val="1"/>
                <w:color w:val="auto"/>
              </w:rPr>
            </w:pPr>
          </w:p>
        </w:tc>
      </w:tr>
      <w:tr>
        <w:trPr>
          <w:trHeight w:val="266"/>
        </w:trPr>
        <w:tc>
          <w:tcPr>
            <w:tcW w:w="1300" w:type="dxa"/>
            <w:vAlign w:val="bottom"/>
            <w:tcBorders>
              <w:left w:val="single" w:sz="8" w:color="auto"/>
            </w:tcBorders>
          </w:tcPr>
          <w:p>
            <w:pPr>
              <w:spacing w:after="0"/>
              <w:rPr>
                <w:sz w:val="23"/>
                <w:szCs w:val="23"/>
                <w:color w:val="auto"/>
              </w:rPr>
            </w:pPr>
          </w:p>
        </w:tc>
        <w:tc>
          <w:tcPr>
            <w:tcW w:w="13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1300" w:type="dxa"/>
            <w:vAlign w:val="bottom"/>
            <w:tcBorders>
              <w:left w:val="single" w:sz="8" w:color="auto"/>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Gary M. Bahler</w:t>
      </w:r>
    </w:p>
    <w:p>
      <w:pPr>
        <w:spacing w:after="0" w:line="173" w:lineRule="exact"/>
        <w:rPr>
          <w:sz w:val="20"/>
          <w:szCs w:val="20"/>
          <w:color w:val="auto"/>
        </w:rPr>
      </w:pPr>
    </w:p>
    <w:p>
      <w:pPr>
        <w:ind w:left="540" w:hanging="31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severance amount equals two weeks’ salary plus portion of annual bonus at target multiplied by executive’s 27 years of service.</w:t>
      </w:r>
    </w:p>
    <w:p>
      <w:pPr>
        <w:spacing w:after="0" w:line="144" w:lineRule="exact"/>
        <w:rPr>
          <w:rFonts w:ascii="Arial" w:cs="Arial" w:eastAsia="Arial" w:hAnsi="Arial"/>
          <w:sz w:val="18"/>
          <w:szCs w:val="18"/>
          <w:color w:val="auto"/>
        </w:rPr>
      </w:pPr>
    </w:p>
    <w:p>
      <w:pPr>
        <w:ind w:left="540" w:right="120" w:hanging="312"/>
        <w:spacing w:after="0" w:line="267" w:lineRule="auto"/>
        <w:tabs>
          <w:tab w:leader="none" w:pos="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This amount is the total benefit payable under the Supplemental Executive Retirement Plan (“SERP”). The payments would be made quarterly over a three-year period. The first two quarterly payments would be made six months following the executive’s termination date, with the remaining payments made quarterly during the remainder of the three-year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2" w:name="page53"/>
    <w:bookmarkEnd w:id="52"/>
    <w:p>
      <w:pPr>
        <w:ind w:left="409" w:right="60" w:hanging="312"/>
        <w:spacing w:after="0" w:line="267" w:lineRule="auto"/>
        <w:tabs>
          <w:tab w:leader="none" w:pos="409" w:val="left"/>
        </w:tabs>
        <w:numPr>
          <w:ilvl w:val="0"/>
          <w:numId w:val="54"/>
        </w:numPr>
        <w:rPr>
          <w:rFonts w:ascii="Arial" w:cs="Arial" w:eastAsia="Arial" w:hAnsi="Arial"/>
          <w:sz w:val="19"/>
          <w:szCs w:val="19"/>
          <w:color w:val="auto"/>
        </w:rPr>
      </w:pPr>
      <w:r>
        <w:rPr>
          <w:rFonts w:ascii="Arial" w:cs="Arial" w:eastAsia="Arial" w:hAnsi="Arial"/>
          <w:sz w:val="19"/>
          <w:szCs w:val="19"/>
          <w:color w:val="auto"/>
        </w:rPr>
        <w:t>Benefit payable as of February 2, 2008 in a lump sum under the Foot Locker Excess Cash Balance Plan.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81" w:lineRule="exact"/>
        <w:rPr>
          <w:rFonts w:ascii="Arial" w:cs="Arial" w:eastAsia="Arial" w:hAnsi="Arial"/>
          <w:sz w:val="19"/>
          <w:szCs w:val="19"/>
          <w:color w:val="auto"/>
        </w:rPr>
      </w:pPr>
    </w:p>
    <w:p>
      <w:pPr>
        <w:ind w:left="409" w:right="40" w:hanging="312"/>
        <w:spacing w:after="0" w:line="277" w:lineRule="auto"/>
        <w:tabs>
          <w:tab w:leader="none" w:pos="409"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Bahler would be entitled under the SERP to the continuation of medical and dental insurance benefits following termination. The benefits would be substantially the same as those benefits to which senior executives are entitled under Foot Locker’s medical and dental plans for active employees. Mr. Bahler would be required to pay the insurance premium applicable to actively employed senior executives, including any subsequent increases in the premiums. The amount shown in the table represents the estimated annual cost of the Company’s portion of the premiums for an individual policy covering the executive and his covered dependent.</w:t>
      </w:r>
    </w:p>
    <w:p>
      <w:pPr>
        <w:spacing w:after="0" w:line="75" w:lineRule="exact"/>
        <w:rPr>
          <w:rFonts w:ascii="Arial" w:cs="Arial" w:eastAsia="Arial" w:hAnsi="Arial"/>
          <w:sz w:val="18"/>
          <w:szCs w:val="18"/>
          <w:color w:val="auto"/>
        </w:rPr>
      </w:pPr>
    </w:p>
    <w:p>
      <w:pPr>
        <w:ind w:left="409" w:right="520" w:hanging="312"/>
        <w:spacing w:after="0" w:line="283" w:lineRule="auto"/>
        <w:tabs>
          <w:tab w:leader="none" w:pos="409"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fair market value of a share of the Company’s stock on February 2, 2008 was less than the exercise price of each of the unvested options that would be accelerated, so the intrinsic value of the option on that date was $0.</w:t>
      </w:r>
    </w:p>
    <w:p>
      <w:pPr>
        <w:spacing w:after="0" w:line="65" w:lineRule="exact"/>
        <w:rPr>
          <w:rFonts w:ascii="Arial" w:cs="Arial" w:eastAsia="Arial" w:hAnsi="Arial"/>
          <w:sz w:val="19"/>
          <w:szCs w:val="19"/>
          <w:color w:val="auto"/>
        </w:rPr>
      </w:pPr>
    </w:p>
    <w:p>
      <w:pPr>
        <w:ind w:left="409" w:hanging="312"/>
        <w:spacing w:after="0"/>
        <w:tabs>
          <w:tab w:leader="none" w:pos="409"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severance amount equals 104 weeks’ salary plus two times annual bonus at target.</w:t>
      </w:r>
    </w:p>
    <w:p>
      <w:pPr>
        <w:spacing w:after="0" w:line="132" w:lineRule="exact"/>
        <w:rPr>
          <w:rFonts w:ascii="Arial" w:cs="Arial" w:eastAsia="Arial" w:hAnsi="Arial"/>
          <w:sz w:val="19"/>
          <w:szCs w:val="19"/>
          <w:color w:val="auto"/>
        </w:rPr>
      </w:pPr>
    </w:p>
    <w:p>
      <w:pPr>
        <w:ind w:left="409" w:hanging="312"/>
        <w:spacing w:after="0"/>
        <w:tabs>
          <w:tab w:leader="none" w:pos="40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amount represents the value of 40,000 shares of restricted stock that would vest on termination. The shares were valued at $13.94.</w:t>
      </w:r>
    </w:p>
    <w:p>
      <w:pPr>
        <w:spacing w:after="0" w:line="144" w:lineRule="exact"/>
        <w:rPr>
          <w:rFonts w:ascii="Arial" w:cs="Arial" w:eastAsia="Arial" w:hAnsi="Arial"/>
          <w:sz w:val="18"/>
          <w:szCs w:val="18"/>
          <w:color w:val="auto"/>
        </w:rPr>
      </w:pPr>
    </w:p>
    <w:p>
      <w:pPr>
        <w:ind w:left="409" w:hanging="312"/>
        <w:spacing w:after="0" w:line="262" w:lineRule="auto"/>
        <w:tabs>
          <w:tab w:leader="none" w:pos="409" w:val="left"/>
        </w:tabs>
        <w:numPr>
          <w:ilvl w:val="0"/>
          <w:numId w:val="54"/>
        </w:numPr>
        <w:rPr>
          <w:rFonts w:ascii="Arial" w:cs="Arial" w:eastAsia="Arial" w:hAnsi="Arial"/>
          <w:sz w:val="19"/>
          <w:szCs w:val="19"/>
          <w:color w:val="auto"/>
        </w:rPr>
      </w:pPr>
      <w:r>
        <w:rPr>
          <w:rFonts w:ascii="Arial" w:cs="Arial" w:eastAsia="Arial" w:hAnsi="Arial"/>
          <w:sz w:val="19"/>
          <w:szCs w:val="19"/>
          <w:color w:val="auto"/>
        </w:rPr>
        <w:t>If the payments or benefits received by the executive following a Change in Control are subject to the excise tax under Section 4999 of the Internal Revenue, then the Company would automatically reduce Mr. Bahler’s payments and benefits to an amount equal to $1 less than the amount that would subject him to the excise tax, as long as the reduced amount would result in a greater benefit to him compared to the unreduced amount on a net after-tax basis.</w:t>
      </w:r>
    </w:p>
    <w:p>
      <w:pPr>
        <w:spacing w:after="0" w:line="85" w:lineRule="exact"/>
        <w:rPr>
          <w:rFonts w:ascii="Arial" w:cs="Arial" w:eastAsia="Arial" w:hAnsi="Arial"/>
          <w:sz w:val="19"/>
          <w:szCs w:val="19"/>
          <w:color w:val="auto"/>
        </w:rPr>
      </w:pPr>
    </w:p>
    <w:p>
      <w:pPr>
        <w:ind w:left="409" w:right="40" w:hanging="312"/>
        <w:spacing w:after="0" w:line="267" w:lineRule="auto"/>
        <w:tabs>
          <w:tab w:leader="none" w:pos="409"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40,000 shares of restricted stock, valued at $13.94.</w:t>
      </w:r>
    </w:p>
    <w:p>
      <w:pPr>
        <w:spacing w:after="0" w:line="81" w:lineRule="exact"/>
        <w:rPr>
          <w:rFonts w:ascii="Arial" w:cs="Arial" w:eastAsia="Arial" w:hAnsi="Arial"/>
          <w:sz w:val="19"/>
          <w:szCs w:val="19"/>
          <w:color w:val="auto"/>
        </w:rPr>
      </w:pPr>
    </w:p>
    <w:p>
      <w:pPr>
        <w:ind w:left="409" w:hanging="409"/>
        <w:spacing w:after="0"/>
        <w:tabs>
          <w:tab w:leader="none" w:pos="409" w:val="left"/>
        </w:tabs>
        <w:numPr>
          <w:ilvl w:val="0"/>
          <w:numId w:val="54"/>
        </w:numPr>
        <w:rPr>
          <w:rFonts w:ascii="Arial" w:cs="Arial" w:eastAsia="Arial" w:hAnsi="Arial"/>
          <w:sz w:val="19"/>
          <w:szCs w:val="19"/>
          <w:color w:val="auto"/>
        </w:rPr>
      </w:pPr>
      <w:r>
        <w:rPr>
          <w:rFonts w:ascii="Arial" w:cs="Arial" w:eastAsia="Arial" w:hAnsi="Arial"/>
          <w:sz w:val="19"/>
          <w:szCs w:val="19"/>
          <w:color w:val="auto"/>
        </w:rPr>
        <w:t>SERP benefit payable in a lump sum following the determination of disability or the date of death.</w:t>
      </w:r>
    </w:p>
    <w:p>
      <w:pPr>
        <w:spacing w:after="0" w:line="335" w:lineRule="exact"/>
        <w:rPr>
          <w:sz w:val="20"/>
          <w:szCs w:val="20"/>
          <w:color w:val="auto"/>
        </w:rPr>
      </w:pPr>
    </w:p>
    <w:p>
      <w:pPr>
        <w:jc w:val="center"/>
        <w:ind w:right="71"/>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150495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9"/>
          </w:cols>
          <w:pgMar w:left="371" w:top="613" w:right="279" w:bottom="1440" w:gutter="0" w:footer="0" w:header="0"/>
        </w:sectPr>
      </w:pPr>
    </w:p>
    <w:bookmarkStart w:id="53" w:name="page54"/>
    <w:bookmarkEnd w:id="53"/>
    <w:p>
      <w:pPr>
        <w:jc w:val="center"/>
        <w:spacing w:after="0"/>
        <w:rPr>
          <w:sz w:val="20"/>
          <w:szCs w:val="20"/>
          <w:color w:val="auto"/>
        </w:rPr>
      </w:pPr>
      <w:r>
        <w:rPr>
          <w:rFonts w:ascii="Arial" w:cs="Arial" w:eastAsia="Arial" w:hAnsi="Arial"/>
          <w:sz w:val="19"/>
          <w:szCs w:val="19"/>
          <w:b w:val="1"/>
          <w:bCs w:val="1"/>
          <w:color w:val="auto"/>
        </w:rPr>
        <w:t>ROBERT W. MCHUGH</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300" w:type="dxa"/>
            <w:vAlign w:val="bottom"/>
            <w:tcBorders>
              <w:top w:val="single" w:sz="8" w:color="auto"/>
              <w:left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0"/>
              </w:rPr>
              <w:t>Accelerated</w:t>
            </w:r>
          </w:p>
        </w:tc>
        <w:tc>
          <w:tcPr>
            <w:tcW w:w="1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88"/>
              </w:rPr>
              <w:t>Vesting of</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90"/>
              </w:rPr>
              <w:t>Tax</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60" w:type="dxa"/>
            <w:vAlign w:val="bottom"/>
          </w:tcPr>
          <w:p>
            <w:pPr>
              <w:spacing w:after="0"/>
              <w:rPr>
                <w:sz w:val="12"/>
                <w:szCs w:val="12"/>
                <w:color w:val="auto"/>
              </w:rPr>
            </w:pPr>
          </w:p>
        </w:tc>
        <w:tc>
          <w:tcPr>
            <w:tcW w:w="152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3"/>
              </w:rPr>
              <w:t>Benefit under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1420" w:type="dxa"/>
            <w:vAlign w:val="bottom"/>
          </w:tcPr>
          <w:p>
            <w:pPr>
              <w:spacing w:after="0"/>
              <w:rPr>
                <w:sz w:val="12"/>
                <w:szCs w:val="12"/>
                <w:color w:val="auto"/>
              </w:rPr>
            </w:pPr>
          </w:p>
        </w:tc>
        <w:tc>
          <w:tcPr>
            <w:tcW w:w="8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88"/>
              </w:rPr>
              <w:t>Gross-</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Reason for</w:t>
            </w:r>
          </w:p>
        </w:tc>
        <w:tc>
          <w:tcPr>
            <w:tcW w:w="132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88"/>
              </w:rPr>
              <w:t>Severance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and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SERP</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Cash</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Health</w:t>
            </w:r>
          </w:p>
        </w:tc>
        <w:tc>
          <w:tcPr>
            <w:tcW w:w="1420" w:type="dxa"/>
            <w:vAlign w:val="bottom"/>
          </w:tcPr>
          <w:p>
            <w:pPr>
              <w:jc w:val="center"/>
              <w:ind w:left="9"/>
              <w:spacing w:after="0" w:line="149" w:lineRule="exact"/>
              <w:rPr>
                <w:sz w:val="20"/>
                <w:szCs w:val="20"/>
                <w:color w:val="auto"/>
              </w:rPr>
            </w:pPr>
            <w:r>
              <w:rPr>
                <w:rFonts w:ascii="Arial" w:cs="Arial" w:eastAsia="Arial" w:hAnsi="Arial"/>
                <w:sz w:val="14"/>
                <w:szCs w:val="14"/>
                <w:b w:val="1"/>
                <w:bCs w:val="1"/>
                <w:color w:val="auto"/>
                <w:w w:val="92"/>
              </w:rPr>
              <w:t>Outplacement</w:t>
            </w:r>
          </w:p>
        </w:tc>
        <w:tc>
          <w:tcPr>
            <w:tcW w:w="82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96"/>
              </w:rPr>
              <w:t>Up</w:t>
            </w: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ind w:left="140"/>
              <w:spacing w:after="0"/>
              <w:rPr>
                <w:sz w:val="20"/>
                <w:szCs w:val="20"/>
                <w:color w:val="auto"/>
              </w:rPr>
            </w:pPr>
            <w:r>
              <w:rPr>
                <w:rFonts w:ascii="Arial" w:cs="Arial" w:eastAsia="Arial" w:hAnsi="Arial"/>
                <w:sz w:val="14"/>
                <w:szCs w:val="14"/>
                <w:b w:val="1"/>
                <w:bCs w:val="1"/>
                <w:color w:val="auto"/>
              </w:rPr>
              <w:t>Termination</w:t>
            </w:r>
          </w:p>
        </w:tc>
        <w:tc>
          <w:tcPr>
            <w:tcW w:w="1320" w:type="dxa"/>
            <w:vAlign w:val="bottom"/>
          </w:tcPr>
          <w:p>
            <w:pPr>
              <w:jc w:val="center"/>
              <w:ind w:left="69"/>
              <w:spacing w:after="0"/>
              <w:rPr>
                <w:sz w:val="20"/>
                <w:szCs w:val="20"/>
                <w:color w:val="auto"/>
              </w:rPr>
            </w:pPr>
            <w:r>
              <w:rPr>
                <w:rFonts w:ascii="Arial" w:cs="Arial" w:eastAsia="Arial" w:hAnsi="Arial"/>
                <w:sz w:val="14"/>
                <w:szCs w:val="14"/>
                <w:b w:val="1"/>
                <w:bCs w:val="1"/>
                <w:color w:val="auto"/>
                <w:w w:val="92"/>
              </w:rPr>
              <w:t>Payment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Benefit</w:t>
            </w:r>
          </w:p>
        </w:tc>
        <w:tc>
          <w:tcPr>
            <w:tcW w:w="1520" w:type="dxa"/>
            <w:vAlign w:val="bottom"/>
          </w:tcPr>
          <w:p>
            <w:pPr>
              <w:jc w:val="center"/>
              <w:ind w:left="9"/>
              <w:spacing w:after="0"/>
              <w:rPr>
                <w:sz w:val="20"/>
                <w:szCs w:val="20"/>
                <w:color w:val="auto"/>
              </w:rPr>
            </w:pPr>
            <w:r>
              <w:rPr>
                <w:rFonts w:ascii="Arial" w:cs="Arial" w:eastAsia="Arial" w:hAnsi="Arial"/>
                <w:sz w:val="14"/>
                <w:szCs w:val="14"/>
                <w:b w:val="1"/>
                <w:bCs w:val="1"/>
                <w:color w:val="auto"/>
                <w:w w:val="91"/>
              </w:rPr>
              <w:t>Balance Plan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Benefits</w:t>
            </w:r>
          </w:p>
        </w:tc>
        <w:tc>
          <w:tcPr>
            <w:tcW w:w="1420" w:type="dxa"/>
            <w:vAlign w:val="bottom"/>
          </w:tcPr>
          <w:p>
            <w:pPr>
              <w:jc w:val="center"/>
              <w:ind w:left="9"/>
              <w:spacing w:after="0"/>
              <w:rPr>
                <w:sz w:val="20"/>
                <w:szCs w:val="20"/>
                <w:color w:val="auto"/>
              </w:rPr>
            </w:pPr>
            <w:r>
              <w:rPr>
                <w:rFonts w:ascii="Arial" w:cs="Arial" w:eastAsia="Arial" w:hAnsi="Arial"/>
                <w:sz w:val="14"/>
                <w:szCs w:val="14"/>
                <w:b w:val="1"/>
                <w:bCs w:val="1"/>
                <w:color w:val="auto"/>
                <w:w w:val="86"/>
              </w:rPr>
              <w:t>Services</w:t>
            </w:r>
          </w:p>
        </w:tc>
        <w:tc>
          <w:tcPr>
            <w:tcW w:w="820" w:type="dxa"/>
            <w:vAlign w:val="bottom"/>
          </w:tcPr>
          <w:p>
            <w:pPr>
              <w:jc w:val="center"/>
              <w:ind w:left="89"/>
              <w:spacing w:after="0"/>
              <w:rPr>
                <w:sz w:val="20"/>
                <w:szCs w:val="20"/>
                <w:color w:val="auto"/>
              </w:rPr>
            </w:pPr>
            <w:r>
              <w:rPr>
                <w:rFonts w:ascii="Arial" w:cs="Arial" w:eastAsia="Arial" w:hAnsi="Arial"/>
                <w:sz w:val="14"/>
                <w:szCs w:val="14"/>
                <w:b w:val="1"/>
                <w:bCs w:val="1"/>
                <w:color w:val="auto"/>
                <w:w w:val="92"/>
              </w:rPr>
              <w:t>Payment</w:t>
            </w:r>
          </w:p>
        </w:tc>
        <w:tc>
          <w:tcPr>
            <w:tcW w:w="760" w:type="dxa"/>
            <w:vAlign w:val="bottom"/>
            <w:tcBorders>
              <w:right w:val="single" w:sz="8" w:color="auto"/>
            </w:tcBorders>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9"/>
        </w:trPr>
        <w:tc>
          <w:tcPr>
            <w:tcW w:w="1300" w:type="dxa"/>
            <w:vAlign w:val="bottom"/>
            <w:tcBorders>
              <w:left w:val="single" w:sz="8" w:color="auto"/>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By Company</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b w:val="1"/>
                <w:bCs w:val="1"/>
                <w:color w:val="auto"/>
                <w:w w:val="88"/>
              </w:rPr>
              <w:t>Severance:</w:t>
            </w:r>
          </w:p>
        </w:tc>
        <w:tc>
          <w:tcPr>
            <w:tcW w:w="160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26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line="134" w:lineRule="exact"/>
              <w:rPr>
                <w:sz w:val="20"/>
                <w:szCs w:val="20"/>
                <w:color w:val="auto"/>
              </w:rPr>
            </w:pPr>
            <w:r>
              <w:rPr>
                <w:rFonts w:ascii="Arial" w:cs="Arial" w:eastAsia="Arial" w:hAnsi="Arial"/>
                <w:sz w:val="14"/>
                <w:szCs w:val="14"/>
                <w:color w:val="auto"/>
                <w:w w:val="90"/>
              </w:rPr>
              <w:t>$59,997</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3"/>
              </w:rPr>
              <w:t>$7,800</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2"/>
              </w:rPr>
              <w:t>$592,797</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ind w:left="140"/>
              <w:spacing w:after="0" w:line="153" w:lineRule="exact"/>
              <w:rPr>
                <w:sz w:val="20"/>
                <w:szCs w:val="20"/>
                <w:color w:val="auto"/>
              </w:rPr>
            </w:pPr>
            <w:r>
              <w:rPr>
                <w:rFonts w:ascii="Arial" w:cs="Arial" w:eastAsia="Arial" w:hAnsi="Arial"/>
                <w:sz w:val="14"/>
                <w:szCs w:val="14"/>
                <w:color w:val="auto"/>
              </w:rPr>
              <w:t>Without</w:t>
            </w:r>
          </w:p>
        </w:tc>
        <w:tc>
          <w:tcPr>
            <w:tcW w:w="1320" w:type="dxa"/>
            <w:vAlign w:val="bottom"/>
          </w:tcPr>
          <w:p>
            <w:pPr>
              <w:jc w:val="center"/>
              <w:ind w:left="69"/>
              <w:spacing w:after="0" w:line="153" w:lineRule="exact"/>
              <w:rPr>
                <w:sz w:val="20"/>
                <w:szCs w:val="20"/>
                <w:color w:val="auto"/>
              </w:rPr>
            </w:pPr>
            <w:r>
              <w:rPr>
                <w:rFonts w:ascii="Arial" w:cs="Arial" w:eastAsia="Arial" w:hAnsi="Arial"/>
                <w:sz w:val="14"/>
                <w:szCs w:val="14"/>
                <w:color w:val="auto"/>
                <w:w w:val="92"/>
              </w:rPr>
              <w:t>$525,000</w:t>
            </w:r>
          </w:p>
        </w:tc>
        <w:tc>
          <w:tcPr>
            <w:tcW w:w="160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Cause</w:t>
            </w: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No acceleration</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of vesting</w:t>
            </w: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60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No acceleration</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00" w:type="dxa"/>
            <w:vAlign w:val="bottom"/>
            <w:tcBorders>
              <w:left w:val="single" w:sz="8" w:color="auto"/>
            </w:tcBorders>
          </w:tcPr>
          <w:p>
            <w:pPr>
              <w:spacing w:after="0"/>
              <w:rPr>
                <w:sz w:val="15"/>
                <w:szCs w:val="15"/>
                <w:color w:val="auto"/>
              </w:rPr>
            </w:pPr>
          </w:p>
        </w:tc>
        <w:tc>
          <w:tcPr>
            <w:tcW w:w="1320" w:type="dxa"/>
            <w:vAlign w:val="bottom"/>
            <w:vMerge w:val="restart"/>
          </w:tcPr>
          <w:p>
            <w:pPr>
              <w:jc w:val="center"/>
              <w:ind w:left="89"/>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ind w:left="260"/>
              <w:spacing w:after="0"/>
              <w:rPr>
                <w:sz w:val="20"/>
                <w:szCs w:val="20"/>
                <w:color w:val="auto"/>
              </w:rPr>
            </w:pPr>
            <w:r>
              <w:rPr>
                <w:rFonts w:ascii="Arial" w:cs="Arial" w:eastAsia="Arial" w:hAnsi="Arial"/>
                <w:sz w:val="14"/>
                <w:szCs w:val="14"/>
                <w:color w:val="auto"/>
              </w:rPr>
              <w:t>of vesting</w:t>
            </w:r>
          </w:p>
        </w:tc>
        <w:tc>
          <w:tcPr>
            <w:tcW w:w="1260" w:type="dxa"/>
            <w:vAlign w:val="bottom"/>
          </w:tcPr>
          <w:p>
            <w:pPr>
              <w:spacing w:after="0"/>
              <w:rPr>
                <w:sz w:val="15"/>
                <w:szCs w:val="15"/>
                <w:color w:val="auto"/>
              </w:rPr>
            </w:pPr>
          </w:p>
        </w:tc>
        <w:tc>
          <w:tcPr>
            <w:tcW w:w="15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3"/>
              </w:rPr>
              <w:t>(2)</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Borders>
              <w:left w:val="single" w:sz="8" w:color="auto"/>
            </w:tcBorders>
          </w:tcPr>
          <w:p>
            <w:pPr>
              <w:spacing w:after="0"/>
              <w:rPr>
                <w:sz w:val="15"/>
                <w:szCs w:val="15"/>
                <w:color w:val="auto"/>
              </w:rPr>
            </w:pPr>
          </w:p>
        </w:tc>
        <w:tc>
          <w:tcPr>
            <w:tcW w:w="132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By Executive</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b w:val="1"/>
                <w:bCs w:val="1"/>
                <w:color w:val="auto"/>
                <w:w w:val="88"/>
              </w:rPr>
              <w:t>Severance:</w:t>
            </w:r>
          </w:p>
        </w:tc>
        <w:tc>
          <w:tcPr>
            <w:tcW w:w="160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26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line="134" w:lineRule="exact"/>
              <w:rPr>
                <w:sz w:val="20"/>
                <w:szCs w:val="20"/>
                <w:color w:val="auto"/>
              </w:rPr>
            </w:pPr>
            <w:r>
              <w:rPr>
                <w:rFonts w:ascii="Arial" w:cs="Arial" w:eastAsia="Arial" w:hAnsi="Arial"/>
                <w:sz w:val="14"/>
                <w:szCs w:val="14"/>
                <w:color w:val="auto"/>
                <w:w w:val="90"/>
              </w:rPr>
              <w:t>$59,997</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3"/>
              </w:rPr>
              <w:t>$7,800</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2"/>
              </w:rPr>
              <w:t>$592,797</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ind w:left="140"/>
              <w:spacing w:after="0" w:line="153" w:lineRule="exact"/>
              <w:rPr>
                <w:sz w:val="20"/>
                <w:szCs w:val="20"/>
                <w:color w:val="auto"/>
              </w:rPr>
            </w:pPr>
            <w:r>
              <w:rPr>
                <w:rFonts w:ascii="Arial" w:cs="Arial" w:eastAsia="Arial" w:hAnsi="Arial"/>
                <w:sz w:val="14"/>
                <w:szCs w:val="14"/>
                <w:color w:val="auto"/>
              </w:rPr>
              <w:t>for Good</w:t>
            </w:r>
          </w:p>
        </w:tc>
        <w:tc>
          <w:tcPr>
            <w:tcW w:w="1320" w:type="dxa"/>
            <w:vAlign w:val="bottom"/>
          </w:tcPr>
          <w:p>
            <w:pPr>
              <w:jc w:val="center"/>
              <w:ind w:left="69"/>
              <w:spacing w:after="0" w:line="153" w:lineRule="exact"/>
              <w:rPr>
                <w:sz w:val="20"/>
                <w:szCs w:val="20"/>
                <w:color w:val="auto"/>
              </w:rPr>
            </w:pPr>
            <w:r>
              <w:rPr>
                <w:rFonts w:ascii="Arial" w:cs="Arial" w:eastAsia="Arial" w:hAnsi="Arial"/>
                <w:sz w:val="14"/>
                <w:szCs w:val="14"/>
                <w:color w:val="auto"/>
                <w:w w:val="92"/>
              </w:rPr>
              <w:t>$525,000</w:t>
            </w:r>
          </w:p>
        </w:tc>
        <w:tc>
          <w:tcPr>
            <w:tcW w:w="160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Reason</w:t>
            </w: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No acceleration</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of vesting</w:t>
            </w: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60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23,333 shares:</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$0 value</w:t>
            </w: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spacing w:after="0"/>
              <w:rPr>
                <w:sz w:val="16"/>
                <w:szCs w:val="16"/>
                <w:color w:val="auto"/>
              </w:rPr>
            </w:pPr>
          </w:p>
        </w:tc>
        <w:tc>
          <w:tcPr>
            <w:tcW w:w="1320" w:type="dxa"/>
            <w:vAlign w:val="bottom"/>
          </w:tcPr>
          <w:p>
            <w:pPr>
              <w:jc w:val="center"/>
              <w:ind w:left="89"/>
              <w:spacing w:after="0"/>
              <w:rPr>
                <w:sz w:val="20"/>
                <w:szCs w:val="20"/>
                <w:color w:val="auto"/>
              </w:rPr>
            </w:pPr>
            <w:r>
              <w:rPr>
                <w:rFonts w:ascii="Arial" w:cs="Arial" w:eastAsia="Arial" w:hAnsi="Arial"/>
                <w:sz w:val="14"/>
                <w:szCs w:val="14"/>
                <w:b w:val="1"/>
                <w:bCs w:val="1"/>
                <w:color w:val="auto"/>
                <w:w w:val="93"/>
              </w:rPr>
              <w:t>(1)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1260" w:type="dxa"/>
            <w:vAlign w:val="bottom"/>
          </w:tcPr>
          <w:p>
            <w:pPr>
              <w:spacing w:after="0"/>
              <w:rPr>
                <w:sz w:val="16"/>
                <w:szCs w:val="16"/>
                <w:color w:val="auto"/>
              </w:rPr>
            </w:pPr>
          </w:p>
        </w:tc>
        <w:tc>
          <w:tcPr>
            <w:tcW w:w="152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300" w:type="dxa"/>
            <w:vAlign w:val="bottom"/>
            <w:tcBorders>
              <w:left w:val="single" w:sz="8" w:color="auto"/>
            </w:tcBorders>
          </w:tcPr>
          <w:p>
            <w:pPr>
              <w:ind w:left="140"/>
              <w:spacing w:after="0" w:line="138" w:lineRule="exact"/>
              <w:rPr>
                <w:sz w:val="20"/>
                <w:szCs w:val="20"/>
                <w:color w:val="auto"/>
              </w:rPr>
            </w:pPr>
            <w:r>
              <w:rPr>
                <w:rFonts w:ascii="Arial" w:cs="Arial" w:eastAsia="Arial" w:hAnsi="Arial"/>
                <w:sz w:val="14"/>
                <w:szCs w:val="14"/>
                <w:color w:val="auto"/>
              </w:rPr>
              <w:t>Executive</w:t>
            </w:r>
          </w:p>
        </w:tc>
        <w:tc>
          <w:tcPr>
            <w:tcW w:w="1320" w:type="dxa"/>
            <w:vAlign w:val="bottom"/>
          </w:tcPr>
          <w:p>
            <w:pPr>
              <w:jc w:val="center"/>
              <w:ind w:left="69"/>
              <w:spacing w:after="0" w:line="138" w:lineRule="exact"/>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9"/>
              </w:rPr>
              <w:t>—</w:t>
            </w:r>
          </w:p>
        </w:tc>
        <w:tc>
          <w:tcPr>
            <w:tcW w:w="1520" w:type="dxa"/>
            <w:vAlign w:val="bottom"/>
          </w:tcPr>
          <w:p>
            <w:pPr>
              <w:jc w:val="center"/>
              <w:spacing w:after="0" w:line="138" w:lineRule="exact"/>
              <w:rPr>
                <w:sz w:val="20"/>
                <w:szCs w:val="20"/>
                <w:color w:val="auto"/>
              </w:rPr>
            </w:pPr>
            <w:r>
              <w:rPr>
                <w:rFonts w:ascii="Arial" w:cs="Arial" w:eastAsia="Arial" w:hAnsi="Arial"/>
                <w:sz w:val="14"/>
                <w:szCs w:val="14"/>
                <w:color w:val="auto"/>
                <w:w w:val="90"/>
              </w:rPr>
              <w:t>$59,997</w:t>
            </w:r>
          </w:p>
        </w:tc>
        <w:tc>
          <w:tcPr>
            <w:tcW w:w="142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1420" w:type="dxa"/>
            <w:vAlign w:val="bottom"/>
          </w:tcPr>
          <w:p>
            <w:pPr>
              <w:jc w:val="center"/>
              <w:ind w:left="9"/>
              <w:spacing w:after="0" w:line="138"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8"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color w:val="auto"/>
                <w:w w:val="90"/>
              </w:rPr>
              <w:t>$59,997</w:t>
            </w: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Resigns</w:t>
            </w:r>
          </w:p>
        </w:tc>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Before End</w:t>
            </w:r>
          </w:p>
        </w:tc>
        <w:tc>
          <w:tcPr>
            <w:tcW w:w="1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of Term</w:t>
            </w: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00" w:type="dxa"/>
            <w:vAlign w:val="bottom"/>
            <w:tcBorders>
              <w:left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Termination</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b w:val="1"/>
                <w:bCs w:val="1"/>
                <w:color w:val="auto"/>
                <w:w w:val="88"/>
              </w:rPr>
              <w:t>Severance:</w:t>
            </w:r>
          </w:p>
        </w:tc>
        <w:tc>
          <w:tcPr>
            <w:tcW w:w="160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26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line="134" w:lineRule="exact"/>
              <w:rPr>
                <w:sz w:val="20"/>
                <w:szCs w:val="20"/>
                <w:color w:val="auto"/>
              </w:rPr>
            </w:pPr>
            <w:r>
              <w:rPr>
                <w:rFonts w:ascii="Arial" w:cs="Arial" w:eastAsia="Arial" w:hAnsi="Arial"/>
                <w:sz w:val="14"/>
                <w:szCs w:val="14"/>
                <w:color w:val="auto"/>
                <w:w w:val="90"/>
              </w:rPr>
              <w:t>$59,997</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3"/>
              </w:rPr>
              <w:t>$7,800</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$2,881,097</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ind w:left="140"/>
              <w:spacing w:after="0" w:line="153" w:lineRule="exact"/>
              <w:rPr>
                <w:sz w:val="20"/>
                <w:szCs w:val="20"/>
                <w:color w:val="auto"/>
              </w:rPr>
            </w:pPr>
            <w:r>
              <w:rPr>
                <w:rFonts w:ascii="Arial" w:cs="Arial" w:eastAsia="Arial" w:hAnsi="Arial"/>
                <w:sz w:val="14"/>
                <w:szCs w:val="14"/>
                <w:color w:val="auto"/>
              </w:rPr>
              <w:t>following</w:t>
            </w:r>
          </w:p>
        </w:tc>
        <w:tc>
          <w:tcPr>
            <w:tcW w:w="1320" w:type="dxa"/>
            <w:vAlign w:val="bottom"/>
          </w:tcPr>
          <w:p>
            <w:pPr>
              <w:jc w:val="center"/>
              <w:ind w:left="89"/>
              <w:spacing w:after="0" w:line="153" w:lineRule="exact"/>
              <w:rPr>
                <w:sz w:val="20"/>
                <w:szCs w:val="20"/>
                <w:color w:val="auto"/>
              </w:rPr>
            </w:pPr>
            <w:r>
              <w:rPr>
                <w:rFonts w:ascii="Arial" w:cs="Arial" w:eastAsia="Arial" w:hAnsi="Arial"/>
                <w:sz w:val="14"/>
                <w:szCs w:val="14"/>
                <w:color w:val="auto"/>
                <w:w w:val="91"/>
              </w:rPr>
              <w:t>$1,837,500</w:t>
            </w:r>
          </w:p>
        </w:tc>
        <w:tc>
          <w:tcPr>
            <w:tcW w:w="160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ind w:left="140"/>
              <w:spacing w:after="0" w:line="149" w:lineRule="exact"/>
              <w:rPr>
                <w:sz w:val="20"/>
                <w:szCs w:val="20"/>
                <w:color w:val="auto"/>
              </w:rPr>
            </w:pPr>
            <w:r>
              <w:rPr>
                <w:rFonts w:ascii="Arial" w:cs="Arial" w:eastAsia="Arial" w:hAnsi="Arial"/>
                <w:sz w:val="14"/>
                <w:szCs w:val="14"/>
                <w:color w:val="auto"/>
              </w:rPr>
              <w:t>Change in</w:t>
            </w: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$975,800</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3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Control</w:t>
            </w:r>
          </w:p>
        </w:tc>
        <w:tc>
          <w:tcPr>
            <w:tcW w:w="1320" w:type="dxa"/>
            <w:vAlign w:val="bottom"/>
          </w:tcPr>
          <w:p>
            <w:pPr>
              <w:spacing w:after="0"/>
              <w:rPr>
                <w:sz w:val="15"/>
                <w:szCs w:val="15"/>
                <w:color w:val="auto"/>
              </w:rPr>
            </w:pPr>
          </w:p>
        </w:tc>
        <w:tc>
          <w:tcPr>
            <w:tcW w:w="16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Stock Options:</w:t>
            </w:r>
          </w:p>
        </w:tc>
        <w:tc>
          <w:tcPr>
            <w:tcW w:w="1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36,667 shares:</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$0 value</w:t>
            </w: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spacing w:after="0"/>
              <w:rPr>
                <w:sz w:val="16"/>
                <w:szCs w:val="16"/>
                <w:color w:val="auto"/>
              </w:rPr>
            </w:pPr>
          </w:p>
        </w:tc>
        <w:tc>
          <w:tcPr>
            <w:tcW w:w="1320" w:type="dxa"/>
            <w:vAlign w:val="bottom"/>
          </w:tcPr>
          <w:p>
            <w:pPr>
              <w:jc w:val="center"/>
              <w:ind w:left="89"/>
              <w:spacing w:after="0"/>
              <w:rPr>
                <w:sz w:val="20"/>
                <w:szCs w:val="20"/>
                <w:color w:val="auto"/>
              </w:rPr>
            </w:pPr>
            <w:r>
              <w:rPr>
                <w:rFonts w:ascii="Arial" w:cs="Arial" w:eastAsia="Arial" w:hAnsi="Arial"/>
                <w:sz w:val="14"/>
                <w:szCs w:val="14"/>
                <w:b w:val="1"/>
                <w:bCs w:val="1"/>
                <w:color w:val="auto"/>
                <w:w w:val="93"/>
              </w:rPr>
              <w:t>(5)</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(6)(4)</w:t>
            </w:r>
          </w:p>
        </w:tc>
        <w:tc>
          <w:tcPr>
            <w:tcW w:w="1260" w:type="dxa"/>
            <w:vAlign w:val="bottom"/>
          </w:tcPr>
          <w:p>
            <w:pPr>
              <w:spacing w:after="0"/>
              <w:rPr>
                <w:sz w:val="16"/>
                <w:szCs w:val="16"/>
                <w:color w:val="auto"/>
              </w:rPr>
            </w:pPr>
          </w:p>
        </w:tc>
        <w:tc>
          <w:tcPr>
            <w:tcW w:w="152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20" w:type="dxa"/>
            <w:vAlign w:val="bottom"/>
          </w:tcPr>
          <w:p>
            <w:pPr>
              <w:spacing w:after="0"/>
              <w:rPr>
                <w:sz w:val="16"/>
                <w:szCs w:val="16"/>
                <w:color w:val="auto"/>
              </w:rPr>
            </w:pPr>
          </w:p>
        </w:tc>
        <w:tc>
          <w:tcPr>
            <w:tcW w:w="82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(7)</w:t>
            </w: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Disability</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color w:val="auto"/>
                <w:w w:val="99"/>
              </w:rPr>
              <w:t>—</w:t>
            </w:r>
          </w:p>
        </w:tc>
        <w:tc>
          <w:tcPr>
            <w:tcW w:w="160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260" w:type="dxa"/>
            <w:vAlign w:val="bottom"/>
          </w:tcPr>
          <w:p>
            <w:pPr>
              <w:jc w:val="center"/>
              <w:spacing w:after="0" w:line="134" w:lineRule="exact"/>
              <w:rPr>
                <w:sz w:val="20"/>
                <w:szCs w:val="20"/>
                <w:color w:val="auto"/>
              </w:rPr>
            </w:pPr>
            <w:r>
              <w:rPr>
                <w:rFonts w:ascii="Arial" w:cs="Arial" w:eastAsia="Arial" w:hAnsi="Arial"/>
                <w:sz w:val="14"/>
                <w:szCs w:val="14"/>
                <w:color w:val="auto"/>
                <w:w w:val="90"/>
              </w:rPr>
              <w:t>$50,341</w:t>
            </w:r>
          </w:p>
        </w:tc>
        <w:tc>
          <w:tcPr>
            <w:tcW w:w="1520" w:type="dxa"/>
            <w:vAlign w:val="bottom"/>
          </w:tcPr>
          <w:p>
            <w:pPr>
              <w:jc w:val="center"/>
              <w:spacing w:after="0" w:line="134" w:lineRule="exact"/>
              <w:rPr>
                <w:sz w:val="20"/>
                <w:szCs w:val="20"/>
                <w:color w:val="auto"/>
              </w:rPr>
            </w:pPr>
            <w:r>
              <w:rPr>
                <w:rFonts w:ascii="Arial" w:cs="Arial" w:eastAsia="Arial" w:hAnsi="Arial"/>
                <w:sz w:val="14"/>
                <w:szCs w:val="14"/>
                <w:color w:val="auto"/>
                <w:w w:val="90"/>
              </w:rPr>
              <w:t>$59,997</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$1,086,138</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60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$975,800</w:t>
            </w: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60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23,333 shares:</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$0 value</w:t>
            </w: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(8)(4)</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(9)</w:t>
            </w:r>
          </w:p>
        </w:tc>
        <w:tc>
          <w:tcPr>
            <w:tcW w:w="152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tcBorders>
          </w:tcPr>
          <w:p>
            <w:pPr>
              <w:ind w:left="140"/>
              <w:spacing w:after="0" w:line="134" w:lineRule="exact"/>
              <w:rPr>
                <w:sz w:val="20"/>
                <w:szCs w:val="20"/>
                <w:color w:val="auto"/>
              </w:rPr>
            </w:pPr>
            <w:r>
              <w:rPr>
                <w:rFonts w:ascii="Arial" w:cs="Arial" w:eastAsia="Arial" w:hAnsi="Arial"/>
                <w:sz w:val="14"/>
                <w:szCs w:val="14"/>
                <w:color w:val="auto"/>
              </w:rPr>
              <w:t>Death</w:t>
            </w:r>
          </w:p>
        </w:tc>
        <w:tc>
          <w:tcPr>
            <w:tcW w:w="1320" w:type="dxa"/>
            <w:vAlign w:val="bottom"/>
          </w:tcPr>
          <w:p>
            <w:pPr>
              <w:jc w:val="center"/>
              <w:ind w:left="69"/>
              <w:spacing w:after="0" w:line="134" w:lineRule="exact"/>
              <w:rPr>
                <w:sz w:val="20"/>
                <w:szCs w:val="20"/>
                <w:color w:val="auto"/>
              </w:rPr>
            </w:pPr>
            <w:r>
              <w:rPr>
                <w:rFonts w:ascii="Arial" w:cs="Arial" w:eastAsia="Arial" w:hAnsi="Arial"/>
                <w:sz w:val="14"/>
                <w:szCs w:val="14"/>
                <w:color w:val="auto"/>
                <w:w w:val="99"/>
              </w:rPr>
              <w:t>—</w:t>
            </w:r>
          </w:p>
        </w:tc>
        <w:tc>
          <w:tcPr>
            <w:tcW w:w="1600" w:type="dxa"/>
            <w:vAlign w:val="bottom"/>
          </w:tcPr>
          <w:p>
            <w:pPr>
              <w:ind w:left="260"/>
              <w:spacing w:after="0" w:line="134" w:lineRule="exact"/>
              <w:rPr>
                <w:sz w:val="20"/>
                <w:szCs w:val="20"/>
                <w:color w:val="auto"/>
              </w:rPr>
            </w:pPr>
            <w:r>
              <w:rPr>
                <w:rFonts w:ascii="Arial" w:cs="Arial" w:eastAsia="Arial" w:hAnsi="Arial"/>
                <w:sz w:val="14"/>
                <w:szCs w:val="14"/>
                <w:b w:val="1"/>
                <w:bCs w:val="1"/>
                <w:color w:val="auto"/>
              </w:rPr>
              <w:t>Restricted</w:t>
            </w:r>
          </w:p>
        </w:tc>
        <w:tc>
          <w:tcPr>
            <w:tcW w:w="1260" w:type="dxa"/>
            <w:vAlign w:val="bottom"/>
          </w:tcPr>
          <w:p>
            <w:pPr>
              <w:jc w:val="center"/>
              <w:spacing w:after="0" w:line="134" w:lineRule="exact"/>
              <w:rPr>
                <w:sz w:val="20"/>
                <w:szCs w:val="20"/>
                <w:color w:val="auto"/>
              </w:rPr>
            </w:pPr>
            <w:r>
              <w:rPr>
                <w:rFonts w:ascii="Arial" w:cs="Arial" w:eastAsia="Arial" w:hAnsi="Arial"/>
                <w:sz w:val="14"/>
                <w:szCs w:val="14"/>
                <w:color w:val="auto"/>
                <w:w w:val="90"/>
              </w:rPr>
              <w:t>$50,341</w:t>
            </w:r>
          </w:p>
        </w:tc>
        <w:tc>
          <w:tcPr>
            <w:tcW w:w="1520" w:type="dxa"/>
            <w:vAlign w:val="bottom"/>
          </w:tcPr>
          <w:p>
            <w:pPr>
              <w:jc w:val="center"/>
              <w:spacing w:after="0" w:line="134" w:lineRule="exact"/>
              <w:rPr>
                <w:sz w:val="20"/>
                <w:szCs w:val="20"/>
                <w:color w:val="auto"/>
              </w:rPr>
            </w:pPr>
            <w:r>
              <w:rPr>
                <w:rFonts w:ascii="Arial" w:cs="Arial" w:eastAsia="Arial" w:hAnsi="Arial"/>
                <w:sz w:val="14"/>
                <w:szCs w:val="14"/>
                <w:color w:val="auto"/>
                <w:w w:val="90"/>
              </w:rPr>
              <w:t>$59,997</w:t>
            </w:r>
          </w:p>
        </w:tc>
        <w:tc>
          <w:tcPr>
            <w:tcW w:w="1420" w:type="dxa"/>
            <w:vAlign w:val="bottom"/>
          </w:tcPr>
          <w:p>
            <w:pPr>
              <w:jc w:val="center"/>
              <w:spacing w:after="0" w:line="134" w:lineRule="exact"/>
              <w:rPr>
                <w:sz w:val="20"/>
                <w:szCs w:val="20"/>
                <w:color w:val="auto"/>
              </w:rPr>
            </w:pPr>
            <w:r>
              <w:rPr>
                <w:rFonts w:ascii="Arial" w:cs="Arial" w:eastAsia="Arial" w:hAnsi="Arial"/>
                <w:sz w:val="14"/>
                <w:szCs w:val="14"/>
                <w:color w:val="auto"/>
                <w:w w:val="99"/>
              </w:rPr>
              <w:t>—</w:t>
            </w:r>
          </w:p>
        </w:tc>
        <w:tc>
          <w:tcPr>
            <w:tcW w:w="1420" w:type="dxa"/>
            <w:vAlign w:val="bottom"/>
          </w:tcPr>
          <w:p>
            <w:pPr>
              <w:jc w:val="center"/>
              <w:ind w:left="9"/>
              <w:spacing w:after="0" w:line="134" w:lineRule="exact"/>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line="134"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4"/>
                <w:szCs w:val="14"/>
                <w:color w:val="auto"/>
                <w:w w:val="94"/>
              </w:rPr>
              <w:t>$1,086,138</w:t>
            </w: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60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w:t>
            </w: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$975,800</w:t>
            </w: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300" w:type="dxa"/>
            <w:vAlign w:val="bottom"/>
            <w:tcBorders>
              <w:left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600" w:type="dxa"/>
            <w:vAlign w:val="bottom"/>
          </w:tcPr>
          <w:p>
            <w:pPr>
              <w:ind w:left="260"/>
              <w:spacing w:after="0" w:line="153" w:lineRule="exact"/>
              <w:rPr>
                <w:sz w:val="20"/>
                <w:szCs w:val="20"/>
                <w:color w:val="auto"/>
              </w:rPr>
            </w:pPr>
            <w:r>
              <w:rPr>
                <w:rFonts w:ascii="Arial" w:cs="Arial" w:eastAsia="Arial" w:hAnsi="Arial"/>
                <w:sz w:val="14"/>
                <w:szCs w:val="14"/>
                <w:b w:val="1"/>
                <w:bCs w:val="1"/>
                <w:color w:val="auto"/>
              </w:rPr>
              <w:t>Stock Options:</w:t>
            </w:r>
          </w:p>
        </w:tc>
        <w:tc>
          <w:tcPr>
            <w:tcW w:w="1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Accelerated</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vesting of</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Borders>
              <w:left w:val="single" w:sz="8" w:color="auto"/>
            </w:tcBorders>
          </w:tcPr>
          <w:p>
            <w:pPr>
              <w:spacing w:after="0"/>
              <w:rPr>
                <w:sz w:val="12"/>
                <w:szCs w:val="12"/>
                <w:color w:val="auto"/>
              </w:rPr>
            </w:pPr>
          </w:p>
        </w:tc>
        <w:tc>
          <w:tcPr>
            <w:tcW w:w="1320" w:type="dxa"/>
            <w:vAlign w:val="bottom"/>
          </w:tcPr>
          <w:p>
            <w:pPr>
              <w:spacing w:after="0"/>
              <w:rPr>
                <w:sz w:val="12"/>
                <w:szCs w:val="12"/>
                <w:color w:val="auto"/>
              </w:rPr>
            </w:pPr>
          </w:p>
        </w:tc>
        <w:tc>
          <w:tcPr>
            <w:tcW w:w="1600" w:type="dxa"/>
            <w:vAlign w:val="bottom"/>
          </w:tcPr>
          <w:p>
            <w:pPr>
              <w:ind w:left="260"/>
              <w:spacing w:after="0" w:line="149" w:lineRule="exact"/>
              <w:rPr>
                <w:sz w:val="20"/>
                <w:szCs w:val="20"/>
                <w:color w:val="auto"/>
              </w:rPr>
            </w:pPr>
            <w:r>
              <w:rPr>
                <w:rFonts w:ascii="Arial" w:cs="Arial" w:eastAsia="Arial" w:hAnsi="Arial"/>
                <w:sz w:val="14"/>
                <w:szCs w:val="14"/>
                <w:color w:val="auto"/>
              </w:rPr>
              <w:t>23,333 shares:</w:t>
            </w:r>
          </w:p>
        </w:tc>
        <w:tc>
          <w:tcPr>
            <w:tcW w:w="1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00" w:type="dxa"/>
            <w:vAlign w:val="bottom"/>
            <w:tcBorders>
              <w:left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Arial" w:cs="Arial" w:eastAsia="Arial" w:hAnsi="Arial"/>
                <w:sz w:val="14"/>
                <w:szCs w:val="14"/>
                <w:color w:val="auto"/>
              </w:rPr>
              <w:t>$0 value</w:t>
            </w: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300" w:type="dxa"/>
            <w:vAlign w:val="bottom"/>
            <w:tcBorders>
              <w:left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(8)(4)</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(9)</w:t>
            </w:r>
          </w:p>
        </w:tc>
        <w:tc>
          <w:tcPr>
            <w:tcW w:w="152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300" w:type="dxa"/>
            <w:vAlign w:val="bottom"/>
            <w:tcBorders>
              <w:left w:val="single" w:sz="8" w:color="auto"/>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300" w:type="dxa"/>
            <w:vAlign w:val="bottom"/>
            <w:tcBorders>
              <w:left w:val="single" w:sz="8" w:color="auto"/>
            </w:tcBorders>
          </w:tcPr>
          <w:p>
            <w:pPr>
              <w:ind w:left="140"/>
              <w:spacing w:after="0"/>
              <w:rPr>
                <w:sz w:val="20"/>
                <w:szCs w:val="20"/>
                <w:color w:val="auto"/>
              </w:rPr>
            </w:pPr>
            <w:r>
              <w:rPr>
                <w:rFonts w:ascii="Arial" w:cs="Arial" w:eastAsia="Arial" w:hAnsi="Arial"/>
                <w:sz w:val="14"/>
                <w:szCs w:val="14"/>
                <w:color w:val="auto"/>
              </w:rPr>
              <w:t>Cause</w:t>
            </w:r>
          </w:p>
        </w:tc>
        <w:tc>
          <w:tcPr>
            <w:tcW w:w="1320" w:type="dxa"/>
            <w:vAlign w:val="bottom"/>
          </w:tcPr>
          <w:p>
            <w:pPr>
              <w:jc w:val="center"/>
              <w:ind w:left="69"/>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20" w:type="dxa"/>
            <w:vAlign w:val="bottom"/>
          </w:tcPr>
          <w:p>
            <w:pPr>
              <w:jc w:val="center"/>
              <w:spacing w:after="0"/>
              <w:rPr>
                <w:sz w:val="20"/>
                <w:szCs w:val="20"/>
                <w:color w:val="auto"/>
              </w:rPr>
            </w:pPr>
            <w:r>
              <w:rPr>
                <w:rFonts w:ascii="Arial" w:cs="Arial" w:eastAsia="Arial" w:hAnsi="Arial"/>
                <w:sz w:val="14"/>
                <w:szCs w:val="14"/>
                <w:color w:val="auto"/>
                <w:w w:val="90"/>
              </w:rPr>
              <w:t>$59,997</w:t>
            </w: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20" w:type="dxa"/>
            <w:vAlign w:val="bottom"/>
          </w:tcPr>
          <w:p>
            <w:pPr>
              <w:jc w:val="center"/>
              <w:ind w:left="9"/>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ind w:left="89"/>
              <w:spacing w:after="0"/>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$59,997</w:t>
            </w:r>
          </w:p>
        </w:tc>
        <w:tc>
          <w:tcPr>
            <w:tcW w:w="0" w:type="dxa"/>
            <w:vAlign w:val="bottom"/>
          </w:tcPr>
          <w:p>
            <w:pPr>
              <w:spacing w:after="0"/>
              <w:rPr>
                <w:sz w:val="1"/>
                <w:szCs w:val="1"/>
                <w:color w:val="auto"/>
              </w:rPr>
            </w:pPr>
          </w:p>
        </w:tc>
      </w:tr>
      <w:tr>
        <w:trPr>
          <w:trHeight w:val="266"/>
        </w:trPr>
        <w:tc>
          <w:tcPr>
            <w:tcW w:w="1300" w:type="dxa"/>
            <w:vAlign w:val="bottom"/>
            <w:tcBorders>
              <w:left w:val="single" w:sz="8" w:color="auto"/>
            </w:tcBorders>
          </w:tcPr>
          <w:p>
            <w:pPr>
              <w:spacing w:after="0"/>
              <w:rPr>
                <w:sz w:val="23"/>
                <w:szCs w:val="23"/>
                <w:color w:val="auto"/>
              </w:rPr>
            </w:pPr>
          </w:p>
        </w:tc>
        <w:tc>
          <w:tcPr>
            <w:tcW w:w="13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20" w:type="dxa"/>
            <w:vAlign w:val="bottom"/>
          </w:tcPr>
          <w:p>
            <w:pPr>
              <w:jc w:val="center"/>
              <w:ind w:left="9"/>
              <w:spacing w:after="0"/>
              <w:rPr>
                <w:sz w:val="20"/>
                <w:szCs w:val="20"/>
                <w:color w:val="auto"/>
              </w:rPr>
            </w:pPr>
            <w:r>
              <w:rPr>
                <w:rFonts w:ascii="Arial" w:cs="Arial" w:eastAsia="Arial" w:hAnsi="Arial"/>
                <w:sz w:val="14"/>
                <w:szCs w:val="14"/>
                <w:b w:val="1"/>
                <w:bCs w:val="1"/>
                <w:color w:val="auto"/>
                <w:w w:val="93"/>
              </w:rPr>
              <w:t>(2)</w:t>
            </w:r>
          </w:p>
        </w:tc>
        <w:tc>
          <w:tcPr>
            <w:tcW w:w="1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0"/>
        </w:trPr>
        <w:tc>
          <w:tcPr>
            <w:tcW w:w="1300" w:type="dxa"/>
            <w:vAlign w:val="bottom"/>
            <w:tcBorders>
              <w:left w:val="single" w:sz="8" w:color="auto"/>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Table on Robert W. McHugh</w:t>
      </w:r>
    </w:p>
    <w:p>
      <w:pPr>
        <w:spacing w:after="0" w:line="173" w:lineRule="exact"/>
        <w:rPr>
          <w:sz w:val="20"/>
          <w:szCs w:val="20"/>
          <w:color w:val="auto"/>
        </w:rPr>
      </w:pPr>
    </w:p>
    <w:p>
      <w:pPr>
        <w:ind w:left="420" w:hanging="314"/>
        <w:spacing w:after="0"/>
        <w:tabs>
          <w:tab w:leader="none" w:pos="4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severance amount equals 52 weeks’ salary.</w:t>
      </w:r>
    </w:p>
    <w:p>
      <w:pPr>
        <w:spacing w:after="0" w:line="132" w:lineRule="exact"/>
        <w:rPr>
          <w:rFonts w:ascii="Arial" w:cs="Arial" w:eastAsia="Arial" w:hAnsi="Arial"/>
          <w:sz w:val="19"/>
          <w:szCs w:val="19"/>
          <w:color w:val="auto"/>
        </w:rPr>
      </w:pPr>
    </w:p>
    <w:p>
      <w:pPr>
        <w:ind w:left="420" w:right="220" w:hanging="314"/>
        <w:spacing w:after="0" w:line="267" w:lineRule="auto"/>
        <w:tabs>
          <w:tab w:leader="none" w:pos="4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Benefit payable as of February 2, 2008 in a lump sum under the Foot Locker Excess Cash Balance Plan. No information is provided with respect to the benefit under the Foot Locker Retirement Plan because that plan is available generally to all salaried employees and does not discriminate in terms of scope, terms, or operation in favor of the executive officers.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4" w:name="page55"/>
    <w:bookmarkEnd w:id="54"/>
    <w:p>
      <w:pPr>
        <w:ind w:left="320" w:right="20" w:hanging="314"/>
        <w:spacing w:after="0" w:line="267" w:lineRule="auto"/>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amount in the table reflects the estimated cost to the Company of payments to Mr. McHugh to reimburse him for the difference between the cost of the COBRA continuation coverage premium and the amount he would have paid for medical and dental coverage as an active associate for 18 months following his termination.</w:t>
      </w:r>
    </w:p>
    <w:p>
      <w:pPr>
        <w:spacing w:after="0" w:line="81" w:lineRule="exact"/>
        <w:rPr>
          <w:rFonts w:ascii="Arial" w:cs="Arial" w:eastAsia="Arial" w:hAnsi="Arial"/>
          <w:sz w:val="19"/>
          <w:szCs w:val="19"/>
          <w:color w:val="auto"/>
        </w:rPr>
      </w:pPr>
    </w:p>
    <w:p>
      <w:pPr>
        <w:ind w:left="320" w:hanging="314"/>
        <w:spacing w:after="0" w:line="283" w:lineRule="auto"/>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fair market value of a share of the Company’s stock on February 2, 2008 was less than the exercise price of each of the unvested options that would be accelerated, so the intrinsic value of the option on that date was $0.</w:t>
      </w:r>
    </w:p>
    <w:p>
      <w:pPr>
        <w:spacing w:after="0" w:line="65" w:lineRule="exact"/>
        <w:rPr>
          <w:rFonts w:ascii="Arial" w:cs="Arial" w:eastAsia="Arial" w:hAnsi="Arial"/>
          <w:sz w:val="19"/>
          <w:szCs w:val="19"/>
          <w:color w:val="auto"/>
        </w:rPr>
      </w:pPr>
    </w:p>
    <w:p>
      <w:pPr>
        <w:ind w:left="320" w:hanging="314"/>
        <w:spacing w:after="0"/>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severance amount equals 104 weeks’ salary plus two times annual bonus at target.</w:t>
      </w:r>
    </w:p>
    <w:p>
      <w:pPr>
        <w:spacing w:after="0" w:line="132" w:lineRule="exact"/>
        <w:rPr>
          <w:rFonts w:ascii="Arial" w:cs="Arial" w:eastAsia="Arial" w:hAnsi="Arial"/>
          <w:sz w:val="19"/>
          <w:szCs w:val="19"/>
          <w:color w:val="auto"/>
        </w:rPr>
      </w:pPr>
    </w:p>
    <w:p>
      <w:pPr>
        <w:ind w:left="320" w:hanging="314"/>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amount represents the value of 70,000 shares of restricted stock that would vest on termination. The shares were valued at $13.94.</w:t>
      </w:r>
    </w:p>
    <w:p>
      <w:pPr>
        <w:spacing w:after="0" w:line="144" w:lineRule="exact"/>
        <w:rPr>
          <w:rFonts w:ascii="Arial" w:cs="Arial" w:eastAsia="Arial" w:hAnsi="Arial"/>
          <w:sz w:val="18"/>
          <w:szCs w:val="18"/>
          <w:color w:val="auto"/>
        </w:rPr>
      </w:pPr>
    </w:p>
    <w:p>
      <w:pPr>
        <w:ind w:left="320" w:right="140" w:hanging="314"/>
        <w:spacing w:after="0" w:line="262" w:lineRule="auto"/>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the payments or benefits received by the executive following a Change in Control are subject to the excise tax under Section 4999 of the Internal Revenue, then the Company would automatically reduce Mr. McHugh’s payments and benefits to an amount equal to $1 less than the amount that would subject him to the excise tax, as long as the reduced amount would result in a greater benefit to him compared to the unreduced amount on a net after-tax basis.</w:t>
      </w:r>
    </w:p>
    <w:p>
      <w:pPr>
        <w:spacing w:after="0" w:line="85" w:lineRule="exact"/>
        <w:rPr>
          <w:rFonts w:ascii="Arial" w:cs="Arial" w:eastAsia="Arial" w:hAnsi="Arial"/>
          <w:sz w:val="19"/>
          <w:szCs w:val="19"/>
          <w:color w:val="auto"/>
        </w:rPr>
      </w:pPr>
    </w:p>
    <w:p>
      <w:pPr>
        <w:ind w:left="320" w:right="140" w:hanging="314"/>
        <w:spacing w:after="0" w:line="267" w:lineRule="auto"/>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Compensation and Management Resources Committee may, but is not obligated to, accelerate the vesting of some or all of executive’s restricted stock. The number shown in the table assumes approval of the accelerated vesting of 70,000 shares of restricted stock, valued at $13.94.</w:t>
      </w:r>
    </w:p>
    <w:p>
      <w:pPr>
        <w:spacing w:after="0" w:line="81" w:lineRule="exact"/>
        <w:rPr>
          <w:rFonts w:ascii="Arial" w:cs="Arial" w:eastAsia="Arial" w:hAnsi="Arial"/>
          <w:sz w:val="19"/>
          <w:szCs w:val="19"/>
          <w:color w:val="auto"/>
        </w:rPr>
      </w:pPr>
    </w:p>
    <w:p>
      <w:pPr>
        <w:ind w:left="320" w:hanging="314"/>
        <w:spacing w:after="0"/>
        <w:tabs>
          <w:tab w:leader="none" w:pos="3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SERP benefit payable in a lump sum following determination of disability or the date of death.</w:t>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150495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40" w:top="612" w:right="29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9"/>
          <w:szCs w:val="19"/>
          <w:b w:val="1"/>
          <w:bCs w:val="1"/>
          <w:color w:val="auto"/>
        </w:rPr>
        <w:t>RETIREMENT PLANS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Foot Locker Retirement Plan</w:t>
      </w:r>
    </w:p>
    <w:p>
      <w:pPr>
        <w:spacing w:after="0" w:line="125"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The Foot Locker Retirement Plan (the “Retirement Plan”) is a defined benefit plan with a cash balance formula, which covers eligible employees of the Company and substantially all of our United States subsidiaries. All qualified employees who are at least 21 years old with one year of service are covered by the Retirement Plan. Plan participants become fully vested in their benefits under this plan generally upon completion of five years of service or upon reaching normal retirement age (age 65) while actively employed.</w:t>
      </w:r>
    </w:p>
    <w:p>
      <w:pPr>
        <w:spacing w:after="0" w:line="72" w:lineRule="exact"/>
        <w:rPr>
          <w:sz w:val="20"/>
          <w:szCs w:val="20"/>
          <w:color w:val="auto"/>
        </w:rPr>
      </w:pPr>
    </w:p>
    <w:p>
      <w:pPr>
        <w:ind w:right="320" w:firstLine="357"/>
        <w:spacing w:after="0" w:line="262" w:lineRule="auto"/>
        <w:rPr>
          <w:sz w:val="20"/>
          <w:szCs w:val="20"/>
          <w:color w:val="auto"/>
        </w:rPr>
      </w:pPr>
      <w:r>
        <w:rPr>
          <w:rFonts w:ascii="Arial" w:cs="Arial" w:eastAsia="Arial" w:hAnsi="Arial"/>
          <w:sz w:val="19"/>
          <w:szCs w:val="19"/>
          <w:color w:val="auto"/>
        </w:rPr>
        <w:t>Under the cash balance formula, each participant has an account, for record keeping purposes only, to which credits are allocated annually based upon a percentage of the participant’s W-2 Compensation, as defined in the Retirement Plan. This percentage is determined by the participant’s years of service with the Company as of the beginning of each calendar year. The following table shows the percentage used to determine credits at the years of service indicated.</w:t>
      </w:r>
    </w:p>
    <w:p>
      <w:pPr>
        <w:spacing w:after="0" w:line="13"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Percent of W-2</w:t>
            </w:r>
          </w:p>
        </w:tc>
      </w:tr>
      <w:tr>
        <w:trPr>
          <w:trHeight w:val="176"/>
        </w:trPr>
        <w:tc>
          <w:tcPr>
            <w:tcW w:w="4900" w:type="dxa"/>
            <w:vAlign w:val="bottom"/>
          </w:tcPr>
          <w:p>
            <w:pPr>
              <w:ind w:left="20"/>
              <w:spacing w:after="0" w:line="176" w:lineRule="exact"/>
              <w:rPr>
                <w:sz w:val="20"/>
                <w:szCs w:val="20"/>
                <w:color w:val="auto"/>
              </w:rPr>
            </w:pPr>
            <w:r>
              <w:rPr>
                <w:rFonts w:ascii="Arial" w:cs="Arial" w:eastAsia="Arial" w:hAnsi="Arial"/>
                <w:sz w:val="16"/>
                <w:szCs w:val="16"/>
                <w:b w:val="1"/>
                <w:bCs w:val="1"/>
                <w:color w:val="auto"/>
              </w:rPr>
              <w:t>Years of</w:t>
            </w:r>
          </w:p>
        </w:tc>
        <w:tc>
          <w:tcPr>
            <w:tcW w:w="300" w:type="dxa"/>
            <w:vAlign w:val="bottom"/>
          </w:tcPr>
          <w:p>
            <w:pPr>
              <w:spacing w:after="0"/>
              <w:rPr>
                <w:sz w:val="15"/>
                <w:szCs w:val="15"/>
                <w:color w:val="auto"/>
              </w:rPr>
            </w:pPr>
          </w:p>
        </w:tc>
        <w:tc>
          <w:tcPr>
            <w:tcW w:w="1660" w:type="dxa"/>
            <w:vAlign w:val="bottom"/>
          </w:tcPr>
          <w:p>
            <w:pPr>
              <w:jc w:val="right"/>
              <w:ind w:right="281"/>
              <w:spacing w:after="0" w:line="176" w:lineRule="exact"/>
              <w:rPr>
                <w:sz w:val="20"/>
                <w:szCs w:val="20"/>
                <w:color w:val="auto"/>
              </w:rPr>
            </w:pPr>
            <w:r>
              <w:rPr>
                <w:rFonts w:ascii="Arial" w:cs="Arial" w:eastAsia="Arial" w:hAnsi="Arial"/>
                <w:sz w:val="16"/>
                <w:szCs w:val="16"/>
                <w:b w:val="1"/>
                <w:bCs w:val="1"/>
                <w:color w:val="auto"/>
              </w:rPr>
              <w:t>Percent of All</w:t>
            </w:r>
          </w:p>
        </w:tc>
        <w:tc>
          <w:tcPr>
            <w:tcW w:w="116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Compensation</w:t>
            </w:r>
          </w:p>
        </w:tc>
      </w:tr>
      <w:tr>
        <w:trPr>
          <w:trHeight w:val="213"/>
        </w:trPr>
        <w:tc>
          <w:tcPr>
            <w:tcW w:w="49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Service</w:t>
            </w:r>
          </w:p>
        </w:tc>
        <w:tc>
          <w:tcPr>
            <w:tcW w:w="300" w:type="dxa"/>
            <w:vAlign w:val="bottom"/>
          </w:tcPr>
          <w:p>
            <w:pPr>
              <w:spacing w:after="0"/>
              <w:rPr>
                <w:sz w:val="18"/>
                <w:szCs w:val="18"/>
                <w:color w:val="auto"/>
              </w:rPr>
            </w:pPr>
          </w:p>
        </w:tc>
        <w:tc>
          <w:tcPr>
            <w:tcW w:w="16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W-2 Compensation</w:t>
            </w:r>
          </w:p>
        </w:tc>
        <w:tc>
          <w:tcPr>
            <w:tcW w:w="1160" w:type="dxa"/>
            <w:vAlign w:val="bottom"/>
          </w:tcPr>
          <w:p>
            <w:pPr>
              <w:jc w:val="right"/>
              <w:ind w:right="441"/>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Over $22,000</w:t>
            </w:r>
          </w:p>
        </w:tc>
      </w:tr>
      <w:tr>
        <w:trPr>
          <w:trHeight w:val="264"/>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Less than 6</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1.10</w:t>
            </w:r>
          </w:p>
        </w:tc>
        <w:tc>
          <w:tcPr>
            <w:tcW w:w="1160" w:type="dxa"/>
            <w:vAlign w:val="bottom"/>
            <w:shd w:val="clear" w:color="auto" w:fill="E5FFFF"/>
          </w:tcPr>
          <w:p>
            <w:pPr>
              <w:spacing w:after="0"/>
              <w:rPr>
                <w:sz w:val="22"/>
                <w:szCs w:val="22"/>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0.55</w:t>
            </w: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6–10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1.50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0.75</w:t>
            </w: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11–15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2.00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1.00</w:t>
            </w: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16–20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2.70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1.35</w:t>
            </w: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21–25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3.70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1.85</w:t>
            </w:r>
          </w:p>
        </w:tc>
      </w:tr>
      <w:tr>
        <w:trPr>
          <w:trHeight w:val="265"/>
        </w:trPr>
        <w:tc>
          <w:tcPr>
            <w:tcW w:w="4900" w:type="dxa"/>
            <w:vAlign w:val="bottom"/>
          </w:tcPr>
          <w:p>
            <w:pPr>
              <w:ind w:left="20"/>
              <w:spacing w:after="0"/>
              <w:rPr>
                <w:sz w:val="20"/>
                <w:szCs w:val="20"/>
                <w:color w:val="auto"/>
              </w:rPr>
            </w:pPr>
            <w:r>
              <w:rPr>
                <w:rFonts w:ascii="Arial" w:cs="Arial" w:eastAsia="Arial" w:hAnsi="Arial"/>
                <w:sz w:val="19"/>
                <w:szCs w:val="19"/>
                <w:color w:val="auto"/>
              </w:rPr>
              <w:t>26–30</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4.90</w:t>
            </w:r>
          </w:p>
        </w:tc>
        <w:tc>
          <w:tcPr>
            <w:tcW w:w="1160" w:type="dxa"/>
            <w:vAlign w:val="bottom"/>
          </w:tcPr>
          <w:p>
            <w:pPr>
              <w:spacing w:after="0"/>
              <w:rPr>
                <w:sz w:val="23"/>
                <w:szCs w:val="23"/>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2.45</w:t>
            </w:r>
          </w:p>
        </w:tc>
      </w:tr>
      <w:tr>
        <w:trPr>
          <w:trHeight w:val="275"/>
        </w:trPr>
        <w:tc>
          <w:tcPr>
            <w:tcW w:w="4900" w:type="dxa"/>
            <w:vAlign w:val="bottom"/>
            <w:shd w:val="clear" w:color="auto" w:fill="E5FFFF"/>
          </w:tcPr>
          <w:p>
            <w:pPr>
              <w:ind w:left="20"/>
              <w:spacing w:after="0"/>
              <w:rPr>
                <w:sz w:val="20"/>
                <w:szCs w:val="20"/>
                <w:color w:val="auto"/>
              </w:rPr>
            </w:pPr>
            <w:r>
              <w:rPr>
                <w:rFonts w:ascii="Arial" w:cs="Arial" w:eastAsia="Arial" w:hAnsi="Arial"/>
                <w:sz w:val="19"/>
                <w:szCs w:val="19"/>
                <w:color w:val="auto"/>
              </w:rPr>
              <w:t>31–35</w:t>
            </w:r>
          </w:p>
        </w:tc>
        <w:tc>
          <w:tcPr>
            <w:tcW w:w="1960" w:type="dxa"/>
            <w:vAlign w:val="bottom"/>
            <w:gridSpan w:val="2"/>
            <w:shd w:val="clear" w:color="auto" w:fill="E5FFFF"/>
          </w:tcPr>
          <w:p>
            <w:pPr>
              <w:jc w:val="right"/>
              <w:ind w:right="161"/>
              <w:spacing w:after="0"/>
              <w:rPr>
                <w:sz w:val="20"/>
                <w:szCs w:val="20"/>
                <w:color w:val="auto"/>
              </w:rPr>
            </w:pPr>
            <w:r>
              <w:rPr>
                <w:rFonts w:ascii="Arial" w:cs="Arial" w:eastAsia="Arial" w:hAnsi="Arial"/>
                <w:sz w:val="19"/>
                <w:szCs w:val="19"/>
                <w:color w:val="auto"/>
              </w:rPr>
              <w:t>6.60</w:t>
            </w:r>
          </w:p>
        </w:tc>
        <w:tc>
          <w:tcPr>
            <w:tcW w:w="1160" w:type="dxa"/>
            <w:vAlign w:val="bottom"/>
            <w:shd w:val="clear" w:color="auto" w:fill="E5FFFF"/>
          </w:tcPr>
          <w:p>
            <w:pPr>
              <w:spacing w:after="0"/>
              <w:rPr>
                <w:sz w:val="23"/>
                <w:szCs w:val="23"/>
                <w:color w:val="auto"/>
              </w:rPr>
            </w:pPr>
          </w:p>
        </w:tc>
        <w:tc>
          <w:tcPr>
            <w:tcW w:w="1380" w:type="dxa"/>
            <w:vAlign w:val="bottom"/>
            <w:shd w:val="clear" w:color="auto" w:fill="E5FFFF"/>
          </w:tcPr>
          <w:p>
            <w:pPr>
              <w:jc w:val="right"/>
              <w:ind w:right="108"/>
              <w:spacing w:after="0"/>
              <w:rPr>
                <w:sz w:val="20"/>
                <w:szCs w:val="20"/>
                <w:color w:val="auto"/>
              </w:rPr>
            </w:pPr>
            <w:r>
              <w:rPr>
                <w:rFonts w:ascii="Arial" w:cs="Arial" w:eastAsia="Arial" w:hAnsi="Arial"/>
                <w:sz w:val="19"/>
                <w:szCs w:val="19"/>
                <w:color w:val="auto"/>
              </w:rPr>
              <w:t>3.30</w:t>
            </w:r>
          </w:p>
        </w:tc>
      </w:tr>
      <w:tr>
        <w:trPr>
          <w:trHeight w:val="261"/>
        </w:trPr>
        <w:tc>
          <w:tcPr>
            <w:tcW w:w="4900" w:type="dxa"/>
            <w:vAlign w:val="bottom"/>
          </w:tcPr>
          <w:p>
            <w:pPr>
              <w:ind w:left="20"/>
              <w:spacing w:after="0"/>
              <w:rPr>
                <w:sz w:val="20"/>
                <w:szCs w:val="20"/>
                <w:color w:val="auto"/>
              </w:rPr>
            </w:pPr>
            <w:r>
              <w:rPr>
                <w:rFonts w:ascii="Arial" w:cs="Arial" w:eastAsia="Arial" w:hAnsi="Arial"/>
                <w:sz w:val="19"/>
                <w:szCs w:val="19"/>
                <w:color w:val="auto"/>
              </w:rPr>
              <w:t>More than 35</w:t>
            </w:r>
          </w:p>
        </w:tc>
        <w:tc>
          <w:tcPr>
            <w:tcW w:w="1960" w:type="dxa"/>
            <w:vAlign w:val="bottom"/>
            <w:gridSpan w:val="2"/>
          </w:tcPr>
          <w:p>
            <w:pPr>
              <w:jc w:val="right"/>
              <w:ind w:right="161"/>
              <w:spacing w:after="0"/>
              <w:rPr>
                <w:sz w:val="20"/>
                <w:szCs w:val="20"/>
                <w:color w:val="auto"/>
              </w:rPr>
            </w:pPr>
            <w:r>
              <w:rPr>
                <w:rFonts w:ascii="Arial" w:cs="Arial" w:eastAsia="Arial" w:hAnsi="Arial"/>
                <w:sz w:val="19"/>
                <w:szCs w:val="19"/>
                <w:color w:val="auto"/>
              </w:rPr>
              <w:t>8.90</w:t>
            </w:r>
          </w:p>
        </w:tc>
        <w:tc>
          <w:tcPr>
            <w:tcW w:w="1160" w:type="dxa"/>
            <w:vAlign w:val="bottom"/>
          </w:tcPr>
          <w:p>
            <w:pPr>
              <w:spacing w:after="0"/>
              <w:rPr>
                <w:sz w:val="22"/>
                <w:szCs w:val="22"/>
                <w:color w:val="auto"/>
              </w:rPr>
            </w:pPr>
          </w:p>
        </w:tc>
        <w:tc>
          <w:tcPr>
            <w:tcW w:w="1380" w:type="dxa"/>
            <w:vAlign w:val="bottom"/>
          </w:tcPr>
          <w:p>
            <w:pPr>
              <w:jc w:val="right"/>
              <w:ind w:right="108"/>
              <w:spacing w:after="0"/>
              <w:rPr>
                <w:sz w:val="20"/>
                <w:szCs w:val="20"/>
                <w:color w:val="auto"/>
              </w:rPr>
            </w:pPr>
            <w:r>
              <w:rPr>
                <w:rFonts w:ascii="Arial" w:cs="Arial" w:eastAsia="Arial" w:hAnsi="Arial"/>
                <w:sz w:val="19"/>
                <w:szCs w:val="19"/>
                <w:color w:val="auto"/>
              </w:rPr>
              <w:t>4.45</w:t>
            </w:r>
          </w:p>
        </w:tc>
      </w:tr>
    </w:tbl>
    <w:p>
      <w:pPr>
        <w:spacing w:after="0" w:line="104" w:lineRule="exact"/>
        <w:rPr>
          <w:sz w:val="20"/>
          <w:szCs w:val="20"/>
          <w:color w:val="auto"/>
        </w:rPr>
      </w:pPr>
    </w:p>
    <w:p>
      <w:pPr>
        <w:jc w:val="both"/>
        <w:ind w:right="200" w:firstLine="357"/>
        <w:spacing w:after="0" w:line="288" w:lineRule="auto"/>
        <w:rPr>
          <w:sz w:val="20"/>
          <w:szCs w:val="20"/>
          <w:color w:val="auto"/>
        </w:rPr>
      </w:pPr>
      <w:r>
        <w:rPr>
          <w:rFonts w:ascii="Arial" w:cs="Arial" w:eastAsia="Arial" w:hAnsi="Arial"/>
          <w:sz w:val="17"/>
          <w:szCs w:val="17"/>
          <w:color w:val="auto"/>
        </w:rPr>
        <w:t>In addition, all balances in the participants’ accounts earn interest at the fixed rate of 6 percent, which is credited annually. At retirement or other termination of employment, an amount equal to the vested balance then credited to the account under the Retirement Plan is payable to the participant in the form of a qualified joint and survivor annuity (if the participant is married) or a life annuity (if the participant is not married).</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participant may elect to waive the annuity form of benefit and receive benefits under the plan upon retirement in an optional annuity form or an immediate or deferred lump sum, or, upon other termination of employment, in a lump sum. Additional optional forms of payment are available to participants who were participating in the Retirement Plan as of December 31, 1995.</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Foot Locker Excess Cash Balance Plan</w:t>
      </w:r>
    </w:p>
    <w:p>
      <w:pPr>
        <w:spacing w:after="0" w:line="125" w:lineRule="exact"/>
        <w:rPr>
          <w:sz w:val="20"/>
          <w:szCs w:val="20"/>
          <w:color w:val="auto"/>
        </w:rPr>
      </w:pPr>
    </w:p>
    <w:p>
      <w:pPr>
        <w:ind w:right="200" w:firstLine="357"/>
        <w:spacing w:after="0" w:line="275" w:lineRule="auto"/>
        <w:rPr>
          <w:sz w:val="20"/>
          <w:szCs w:val="20"/>
          <w:color w:val="auto"/>
        </w:rPr>
      </w:pPr>
      <w:r>
        <w:rPr>
          <w:rFonts w:ascii="Arial" w:cs="Arial" w:eastAsia="Arial" w:hAnsi="Arial"/>
          <w:sz w:val="18"/>
          <w:szCs w:val="18"/>
          <w:color w:val="auto"/>
        </w:rPr>
        <w:t>The Internal Revenue Code limits annual retirement benefits that may be paid to, and the compensation that may be taken into account in calculating benefits for, any person under a qualified retirement plan such as the Foot Locker Retirement Plan. Accordingly, for any person covered by the Retirement Plan whose annual retirement benefit, calculated in accordance with the terms of the Retirement Plan, exceeds the limitations of the Internal Revenue Code, the Company has adopted the Foot Locker Excess Cash Balance Plan (the “Excess Plan”). The Excess Plan is an unfunded, nonqualified benefit plan, under which the individual is paid the difference between the Internal Revenue Code limitations and the retirement benefit to which he or she would otherwise be entitled under the Retirement Plan.</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Early Retirement Eligibility</w:t>
      </w:r>
    </w:p>
    <w:p>
      <w:pPr>
        <w:spacing w:after="0" w:line="112"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The Foot Locker Retirement Plan provides for a reduced benefit payment to a participant who retires after reaching early retirement age but prior to normal retirement age. Early retirement age is defined under the Retirement Plan and Excess Plan as age 55 with at least 5 years of vesting service. Mr. Serra and Mr. Bahler are the only named executive officers currently eligible for early retirement under these plans.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56" w:name="page57"/>
    <w:bookmarkEnd w:id="56"/>
    <w:p>
      <w:pPr>
        <w:spacing w:after="0"/>
        <w:rPr>
          <w:sz w:val="20"/>
          <w:szCs w:val="20"/>
          <w:color w:val="auto"/>
        </w:rPr>
      </w:pPr>
      <w:r>
        <w:rPr>
          <w:rFonts w:ascii="Arial" w:cs="Arial" w:eastAsia="Arial" w:hAnsi="Arial"/>
          <w:sz w:val="19"/>
          <w:szCs w:val="19"/>
          <w:b w:val="1"/>
          <w:bCs w:val="1"/>
          <w:color w:val="auto"/>
        </w:rPr>
        <w:t>Foot Locker Supplemental Executive Retirement Plan</w:t>
      </w:r>
    </w:p>
    <w:p>
      <w:pPr>
        <w:spacing w:after="0" w:line="125"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In addition, the Foot Locker Supplemental Executive Retirement Plan (the “SERP”), which is an unfunded, nonqualified benefit plan, provides for payment by the Company of supplemental retirement, death and disability benefits to certain executive officers and certain other key employees of the Company and its subsidiaries who participate in this plan. The named executive officers and four other executive officers of the Company currently participate in the SERP. The Compensation and Management Resources Committee sets an annual targeted incentive award under the SERP for each participant consisting of a percentage of salary and bonus based on the Company’s performance against target. Achievement of the target causes an 8 percent credit to a participant’s account for that year. The applicable percentage for the year increases or decreases proportionately to the percentage of the Company’s performance in relation to the target, but may not be less than 4 percent or more than 12 percent in any year. Participants’ accounts accrue simple interest at the rate of 6 percent annually.</w:t>
      </w:r>
    </w:p>
    <w:p>
      <w:pPr>
        <w:spacing w:after="0" w:line="68" w:lineRule="exact"/>
        <w:rPr>
          <w:sz w:val="20"/>
          <w:szCs w:val="20"/>
          <w:color w:val="auto"/>
        </w:rPr>
      </w:pPr>
    </w:p>
    <w:p>
      <w:pPr>
        <w:ind w:right="380" w:firstLine="357"/>
        <w:spacing w:after="0" w:line="259" w:lineRule="auto"/>
        <w:rPr>
          <w:sz w:val="20"/>
          <w:szCs w:val="20"/>
          <w:color w:val="auto"/>
        </w:rPr>
      </w:pPr>
      <w:r>
        <w:rPr>
          <w:rFonts w:ascii="Arial" w:cs="Arial" w:eastAsia="Arial" w:hAnsi="Arial"/>
          <w:sz w:val="19"/>
          <w:szCs w:val="19"/>
          <w:color w:val="auto"/>
        </w:rPr>
        <w:t>A participant is eligible to receive a benefit under the SERP only if his or her age plus years of service at retirement equals at least 65. Currently, Messrs. Serra, Mina, and Bahler have age plus years of service totaling at least 65. If a participant’s employment terminates due to death or disability he (or his estate) would be entitled to payment of his SERP balance. A participant’s SERP benefit is paid in 12 quarterly installments following retirement, with the first two quarters payable six months following retirement. Upon death or disability, a participant’s SERP benefit is paid in a lump sum.</w:t>
      </w:r>
    </w:p>
    <w:p>
      <w:pPr>
        <w:spacing w:after="0" w:line="77"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SERP provides for the continuation of medical and dental insurance benefits if an executive’s age plus years of service total at least 65 when his employment terminates. The benefits would be substantially the same as those benefits to which senior executives are entitled under Foot Locker’s medical and dental plans for active employees. The terminated executive would be required to pay the insurance premium applicable to actively employed senior executives, including any increases in the premiums, and the Company would pay the difference between the actual premium rate and the active employee rate.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 of Retirement Benefits</w:t>
      </w:r>
    </w:p>
    <w:p>
      <w:pPr>
        <w:spacing w:after="0" w:line="112"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color w:val="auto"/>
        </w:rPr>
        <w:t>The table below provides the present value of the accumulated benefit payable to each of the named executives and the years of service credited to each of them under the Foot Locker Retirement Plan, the Excess Plan, and the SERP determined using interest rate and mortality rate assumptions consistent with those used in our 2007 financial statements.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9"/>
          <w:szCs w:val="19"/>
          <w:b w:val="1"/>
          <w:bCs w:val="1"/>
          <w:color w:val="auto"/>
        </w:rPr>
        <w:t>PENSION BENEFITS</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331"/>
        </w:trPr>
        <w:tc>
          <w:tcPr>
            <w:tcW w:w="2620" w:type="dxa"/>
            <w:vAlign w:val="bottom"/>
            <w:tcBorders>
              <w:top w:val="single" w:sz="8" w:color="auto"/>
              <w:left w:val="single" w:sz="8" w:color="auto"/>
            </w:tcBorders>
          </w:tcPr>
          <w:p>
            <w:pPr>
              <w:ind w:left="1240"/>
              <w:spacing w:after="0"/>
              <w:rPr>
                <w:sz w:val="20"/>
                <w:szCs w:val="20"/>
                <w:color w:val="auto"/>
              </w:rPr>
            </w:pPr>
            <w:r>
              <w:rPr>
                <w:rFonts w:ascii="Arial" w:cs="Arial" w:eastAsia="Arial" w:hAnsi="Arial"/>
                <w:sz w:val="16"/>
                <w:szCs w:val="16"/>
                <w:b w:val="1"/>
                <w:bCs w:val="1"/>
                <w:color w:val="auto"/>
              </w:rPr>
              <w:t>(a)</w:t>
            </w:r>
          </w:p>
        </w:tc>
        <w:tc>
          <w:tcPr>
            <w:tcW w:w="32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(b)</w:t>
            </w:r>
          </w:p>
        </w:tc>
        <w:tc>
          <w:tcPr>
            <w:tcW w:w="3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(c)</w:t>
            </w:r>
          </w:p>
        </w:tc>
        <w:tc>
          <w:tcPr>
            <w:tcW w:w="30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(d)</w:t>
            </w:r>
          </w:p>
        </w:tc>
        <w:tc>
          <w:tcPr>
            <w:tcW w:w="320" w:type="dxa"/>
            <w:vAlign w:val="bottom"/>
            <w:tcBorders>
              <w:top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w:t>
            </w:r>
          </w:p>
        </w:tc>
      </w:tr>
      <w:tr>
        <w:trPr>
          <w:trHeight w:val="176"/>
        </w:trPr>
        <w:tc>
          <w:tcPr>
            <w:tcW w:w="262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Number of Years</w:t>
            </w:r>
          </w:p>
        </w:tc>
        <w:tc>
          <w:tcPr>
            <w:tcW w:w="30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7"/>
              </w:rPr>
              <w:t>Present Value of</w:t>
            </w:r>
          </w:p>
        </w:tc>
        <w:tc>
          <w:tcPr>
            <w:tcW w:w="320" w:type="dxa"/>
            <w:vAlign w:val="bottom"/>
          </w:tcPr>
          <w:p>
            <w:pPr>
              <w:spacing w:after="0"/>
              <w:rPr>
                <w:sz w:val="15"/>
                <w:szCs w:val="15"/>
                <w:color w:val="auto"/>
              </w:rPr>
            </w:pPr>
          </w:p>
        </w:tc>
        <w:tc>
          <w:tcPr>
            <w:tcW w:w="16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9"/>
              </w:rPr>
              <w:t>Payments During</w:t>
            </w:r>
          </w:p>
        </w:tc>
      </w:tr>
      <w:tr>
        <w:trPr>
          <w:trHeight w:val="176"/>
        </w:trPr>
        <w:tc>
          <w:tcPr>
            <w:tcW w:w="262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Plan</w:t>
            </w:r>
          </w:p>
        </w:tc>
        <w:tc>
          <w:tcPr>
            <w:tcW w:w="320" w:type="dxa"/>
            <w:vAlign w:val="bottom"/>
          </w:tcPr>
          <w:p>
            <w:pPr>
              <w:spacing w:after="0"/>
              <w:rPr>
                <w:sz w:val="15"/>
                <w:szCs w:val="15"/>
                <w:color w:val="auto"/>
              </w:rPr>
            </w:pPr>
          </w:p>
        </w:tc>
        <w:tc>
          <w:tcPr>
            <w:tcW w:w="16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Credited Service</w:t>
            </w:r>
          </w:p>
        </w:tc>
        <w:tc>
          <w:tcPr>
            <w:tcW w:w="30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Accumulated Benefit</w:t>
            </w:r>
          </w:p>
        </w:tc>
        <w:tc>
          <w:tcPr>
            <w:tcW w:w="320" w:type="dxa"/>
            <w:vAlign w:val="bottom"/>
          </w:tcPr>
          <w:p>
            <w:pPr>
              <w:spacing w:after="0"/>
              <w:rPr>
                <w:sz w:val="15"/>
                <w:szCs w:val="15"/>
                <w:color w:val="auto"/>
              </w:rPr>
            </w:pPr>
          </w:p>
        </w:tc>
        <w:tc>
          <w:tcPr>
            <w:tcW w:w="16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88"/>
              </w:rPr>
              <w:t>Last Fiscal Year</w:t>
            </w:r>
          </w:p>
        </w:tc>
      </w:tr>
      <w:tr>
        <w:trPr>
          <w:trHeight w:val="209"/>
        </w:trPr>
        <w:tc>
          <w:tcPr>
            <w:tcW w:w="26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w:t>
            </w:r>
          </w:p>
        </w:tc>
        <w:tc>
          <w:tcPr>
            <w:tcW w:w="320" w:type="dxa"/>
            <w:vAlign w:val="bottom"/>
          </w:tcPr>
          <w:p>
            <w:pPr>
              <w:spacing w:after="0"/>
              <w:rPr>
                <w:sz w:val="18"/>
                <w:szCs w:val="18"/>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3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(#)(1)</w:t>
            </w:r>
          </w:p>
        </w:tc>
        <w:tc>
          <w:tcPr>
            <w:tcW w:w="30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w:t>
            </w:r>
          </w:p>
        </w:tc>
        <w:tc>
          <w:tcPr>
            <w:tcW w:w="320" w:type="dxa"/>
            <w:vAlign w:val="bottom"/>
          </w:tcPr>
          <w:p>
            <w:pPr>
              <w:spacing w:after="0"/>
              <w:rPr>
                <w:sz w:val="18"/>
                <w:szCs w:val="18"/>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68"/>
        </w:trPr>
        <w:tc>
          <w:tcPr>
            <w:tcW w:w="2620" w:type="dxa"/>
            <w:vAlign w:val="bottom"/>
            <w:tcBorders>
              <w:left w:val="single" w:sz="8" w:color="auto"/>
            </w:tcBorders>
            <w:shd w:val="clear" w:color="auto" w:fill="E5FFFF"/>
          </w:tcPr>
          <w:p>
            <w:pPr>
              <w:ind w:left="80"/>
              <w:spacing w:after="0"/>
              <w:rPr>
                <w:sz w:val="20"/>
                <w:szCs w:val="20"/>
                <w:color w:val="auto"/>
              </w:rPr>
            </w:pPr>
            <w:r>
              <w:rPr>
                <w:rFonts w:ascii="Arial" w:cs="Arial" w:eastAsia="Arial" w:hAnsi="Arial"/>
                <w:sz w:val="19"/>
                <w:szCs w:val="19"/>
                <w:color w:val="auto"/>
              </w:rPr>
              <w:t>M. Serra</w:t>
            </w:r>
          </w:p>
        </w:tc>
        <w:tc>
          <w:tcPr>
            <w:tcW w:w="320" w:type="dxa"/>
            <w:vAlign w:val="bottom"/>
            <w:shd w:val="clear" w:color="auto" w:fill="E5FFFF"/>
          </w:tcPr>
          <w:p>
            <w:pPr>
              <w:spacing w:after="0"/>
              <w:rPr>
                <w:sz w:val="23"/>
                <w:szCs w:val="23"/>
                <w:color w:val="auto"/>
              </w:rPr>
            </w:pPr>
          </w:p>
        </w:tc>
        <w:tc>
          <w:tcPr>
            <w:tcW w:w="2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940" w:type="dxa"/>
            <w:vAlign w:val="bottom"/>
            <w:gridSpan w:val="2"/>
            <w:shd w:val="clear" w:color="auto" w:fill="E5FFFF"/>
          </w:tcPr>
          <w:p>
            <w:pPr>
              <w:jc w:val="right"/>
              <w:ind w:right="261"/>
              <w:spacing w:after="0"/>
              <w:rPr>
                <w:sz w:val="20"/>
                <w:szCs w:val="20"/>
                <w:color w:val="auto"/>
              </w:rPr>
            </w:pPr>
            <w:r>
              <w:rPr>
                <w:rFonts w:ascii="Arial" w:cs="Arial" w:eastAsia="Arial" w:hAnsi="Arial"/>
                <w:sz w:val="19"/>
                <w:szCs w:val="19"/>
                <w:color w:val="auto"/>
              </w:rPr>
              <w:t>8</w:t>
            </w:r>
          </w:p>
        </w:tc>
        <w:tc>
          <w:tcPr>
            <w:tcW w:w="2320" w:type="dxa"/>
            <w:vAlign w:val="bottom"/>
            <w:gridSpan w:val="2"/>
            <w:shd w:val="clear" w:color="auto" w:fill="E5FFFF"/>
          </w:tcPr>
          <w:p>
            <w:pPr>
              <w:jc w:val="right"/>
              <w:ind w:right="91"/>
              <w:spacing w:after="0"/>
              <w:rPr>
                <w:sz w:val="20"/>
                <w:szCs w:val="20"/>
                <w:color w:val="auto"/>
              </w:rPr>
            </w:pPr>
            <w:r>
              <w:rPr>
                <w:rFonts w:ascii="Arial" w:cs="Arial" w:eastAsia="Arial" w:hAnsi="Arial"/>
                <w:sz w:val="19"/>
                <w:szCs w:val="19"/>
                <w:color w:val="auto"/>
              </w:rPr>
              <w:t>34,680</w:t>
            </w:r>
          </w:p>
        </w:tc>
        <w:tc>
          <w:tcPr>
            <w:tcW w:w="1980" w:type="dxa"/>
            <w:vAlign w:val="bottom"/>
            <w:tcBorders>
              <w:right w:val="single" w:sz="8" w:color="auto"/>
            </w:tcBorders>
            <w:gridSpan w:val="2"/>
            <w:shd w:val="clear" w:color="auto" w:fill="E5FFFF"/>
          </w:tcPr>
          <w:p>
            <w:pPr>
              <w:jc w:val="right"/>
              <w:ind w:right="381"/>
              <w:spacing w:after="0"/>
              <w:rPr>
                <w:sz w:val="20"/>
                <w:szCs w:val="20"/>
                <w:color w:val="auto"/>
              </w:rPr>
            </w:pPr>
            <w:r>
              <w:rPr>
                <w:rFonts w:ascii="Arial" w:cs="Arial" w:eastAsia="Arial" w:hAnsi="Arial"/>
                <w:sz w:val="19"/>
                <w:szCs w:val="19"/>
                <w:color w:val="auto"/>
              </w:rPr>
              <w:t>0</w:t>
            </w:r>
          </w:p>
        </w:tc>
      </w:tr>
      <w:tr>
        <w:trPr>
          <w:trHeight w:val="270"/>
        </w:trPr>
        <w:tc>
          <w:tcPr>
            <w:tcW w:w="262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940" w:type="dxa"/>
            <w:vAlign w:val="bottom"/>
            <w:gridSpan w:val="2"/>
          </w:tcPr>
          <w:p>
            <w:pPr>
              <w:jc w:val="right"/>
              <w:ind w:right="261"/>
              <w:spacing w:after="0"/>
              <w:rPr>
                <w:sz w:val="20"/>
                <w:szCs w:val="20"/>
                <w:color w:val="auto"/>
              </w:rPr>
            </w:pPr>
            <w:r>
              <w:rPr>
                <w:rFonts w:ascii="Arial" w:cs="Arial" w:eastAsia="Arial" w:hAnsi="Arial"/>
                <w:sz w:val="19"/>
                <w:szCs w:val="19"/>
                <w:color w:val="auto"/>
              </w:rPr>
              <w:t>8</w:t>
            </w:r>
          </w:p>
        </w:tc>
        <w:tc>
          <w:tcPr>
            <w:tcW w:w="2320" w:type="dxa"/>
            <w:vAlign w:val="bottom"/>
            <w:gridSpan w:val="2"/>
          </w:tcPr>
          <w:p>
            <w:pPr>
              <w:jc w:val="right"/>
              <w:ind w:right="91"/>
              <w:spacing w:after="0"/>
              <w:rPr>
                <w:sz w:val="20"/>
                <w:szCs w:val="20"/>
                <w:color w:val="auto"/>
              </w:rPr>
            </w:pPr>
            <w:r>
              <w:rPr>
                <w:rFonts w:ascii="Arial" w:cs="Arial" w:eastAsia="Arial" w:hAnsi="Arial"/>
                <w:sz w:val="19"/>
                <w:szCs w:val="19"/>
                <w:color w:val="auto"/>
              </w:rPr>
              <w:t>381,431</w:t>
            </w:r>
          </w:p>
        </w:tc>
        <w:tc>
          <w:tcPr>
            <w:tcW w:w="320" w:type="dxa"/>
            <w:vAlign w:val="bottom"/>
          </w:tcPr>
          <w:p>
            <w:pPr>
              <w:spacing w:after="0"/>
              <w:rPr>
                <w:sz w:val="23"/>
                <w:szCs w:val="23"/>
                <w:color w:val="auto"/>
              </w:rPr>
            </w:pPr>
          </w:p>
        </w:tc>
        <w:tc>
          <w:tcPr>
            <w:tcW w:w="1660" w:type="dxa"/>
            <w:vAlign w:val="bottom"/>
            <w:tcBorders>
              <w:right w:val="single" w:sz="8" w:color="auto"/>
            </w:tcBorders>
          </w:tcPr>
          <w:p>
            <w:pPr>
              <w:spacing w:after="0"/>
              <w:rPr>
                <w:sz w:val="23"/>
                <w:szCs w:val="23"/>
                <w:color w:val="auto"/>
              </w:rPr>
            </w:pPr>
          </w:p>
        </w:tc>
      </w:tr>
      <w:tr>
        <w:trPr>
          <w:trHeight w:val="265"/>
        </w:trPr>
        <w:tc>
          <w:tcPr>
            <w:tcW w:w="2620" w:type="dxa"/>
            <w:vAlign w:val="bottom"/>
            <w:tcBorders>
              <w:left w:val="single" w:sz="8" w:color="auto"/>
            </w:tcBorders>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940" w:type="dxa"/>
            <w:vAlign w:val="bottom"/>
            <w:gridSpan w:val="2"/>
            <w:shd w:val="clear" w:color="auto" w:fill="E5FFFF"/>
          </w:tcPr>
          <w:p>
            <w:pPr>
              <w:jc w:val="right"/>
              <w:ind w:right="261"/>
              <w:spacing w:after="0"/>
              <w:rPr>
                <w:sz w:val="20"/>
                <w:szCs w:val="20"/>
                <w:color w:val="auto"/>
              </w:rPr>
            </w:pPr>
            <w:r>
              <w:rPr>
                <w:rFonts w:ascii="Arial" w:cs="Arial" w:eastAsia="Arial" w:hAnsi="Arial"/>
                <w:sz w:val="19"/>
                <w:szCs w:val="19"/>
                <w:color w:val="auto"/>
              </w:rPr>
              <w:t>10</w:t>
            </w:r>
          </w:p>
        </w:tc>
        <w:tc>
          <w:tcPr>
            <w:tcW w:w="300" w:type="dxa"/>
            <w:vAlign w:val="bottom"/>
            <w:shd w:val="clear" w:color="auto" w:fill="E5FFFF"/>
          </w:tcPr>
          <w:p>
            <w:pPr>
              <w:spacing w:after="0"/>
              <w:rPr>
                <w:sz w:val="23"/>
                <w:szCs w:val="23"/>
                <w:color w:val="auto"/>
              </w:rPr>
            </w:pPr>
          </w:p>
        </w:tc>
        <w:tc>
          <w:tcPr>
            <w:tcW w:w="2020" w:type="dxa"/>
            <w:vAlign w:val="bottom"/>
            <w:tcBorders>
              <w:bottom w:val="single" w:sz="8" w:color="auto"/>
            </w:tcBorders>
            <w:shd w:val="clear" w:color="auto" w:fill="E5FFFF"/>
          </w:tcPr>
          <w:p>
            <w:pPr>
              <w:jc w:val="right"/>
              <w:ind w:right="91"/>
              <w:spacing w:after="0"/>
              <w:rPr>
                <w:sz w:val="20"/>
                <w:szCs w:val="20"/>
                <w:color w:val="auto"/>
              </w:rPr>
            </w:pPr>
            <w:r>
              <w:rPr>
                <w:rFonts w:ascii="Arial" w:cs="Arial" w:eastAsia="Arial" w:hAnsi="Arial"/>
                <w:sz w:val="19"/>
                <w:szCs w:val="19"/>
                <w:color w:val="auto"/>
              </w:rPr>
              <w:t>2,073,543</w:t>
            </w:r>
          </w:p>
        </w:tc>
        <w:tc>
          <w:tcPr>
            <w:tcW w:w="320" w:type="dxa"/>
            <w:vAlign w:val="bottom"/>
            <w:shd w:val="clear" w:color="auto" w:fill="E5FFFF"/>
          </w:tcPr>
          <w:p>
            <w:pPr>
              <w:spacing w:after="0"/>
              <w:rPr>
                <w:sz w:val="23"/>
                <w:szCs w:val="23"/>
                <w:color w:val="auto"/>
              </w:rPr>
            </w:pPr>
          </w:p>
        </w:tc>
        <w:tc>
          <w:tcPr>
            <w:tcW w:w="1660" w:type="dxa"/>
            <w:vAlign w:val="bottom"/>
            <w:tcBorders>
              <w:right w:val="single" w:sz="8" w:color="auto"/>
            </w:tcBorders>
            <w:shd w:val="clear" w:color="auto" w:fill="E5FFFF"/>
          </w:tcPr>
          <w:p>
            <w:pPr>
              <w:spacing w:after="0"/>
              <w:rPr>
                <w:sz w:val="23"/>
                <w:szCs w:val="23"/>
                <w:color w:val="auto"/>
              </w:rPr>
            </w:pPr>
          </w:p>
        </w:tc>
      </w:tr>
      <w:tr>
        <w:trPr>
          <w:trHeight w:val="520"/>
        </w:trPr>
        <w:tc>
          <w:tcPr>
            <w:tcW w:w="262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20" w:type="dxa"/>
            <w:vAlign w:val="bottom"/>
            <w:gridSpan w:val="2"/>
          </w:tcPr>
          <w:p>
            <w:pPr>
              <w:jc w:val="right"/>
              <w:ind w:right="91"/>
              <w:spacing w:after="0"/>
              <w:rPr>
                <w:sz w:val="20"/>
                <w:szCs w:val="20"/>
                <w:color w:val="auto"/>
              </w:rPr>
            </w:pPr>
            <w:r>
              <w:rPr>
                <w:rFonts w:ascii="Arial" w:cs="Arial" w:eastAsia="Arial" w:hAnsi="Arial"/>
                <w:sz w:val="19"/>
                <w:szCs w:val="19"/>
                <w:color w:val="auto"/>
              </w:rPr>
              <w:t>2,489,654</w:t>
            </w:r>
          </w:p>
        </w:tc>
        <w:tc>
          <w:tcPr>
            <w:tcW w:w="32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r>
      <w:tr>
        <w:trPr>
          <w:trHeight w:val="255"/>
        </w:trPr>
        <w:tc>
          <w:tcPr>
            <w:tcW w:w="262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2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r>
      <w:tr>
        <w:trPr>
          <w:trHeight w:val="270"/>
        </w:trPr>
        <w:tc>
          <w:tcPr>
            <w:tcW w:w="2620" w:type="dxa"/>
            <w:vAlign w:val="bottom"/>
            <w:tcBorders>
              <w:left w:val="single" w:sz="8" w:color="auto"/>
            </w:tcBorders>
            <w:shd w:val="clear" w:color="auto" w:fill="E5FFFF"/>
          </w:tcPr>
          <w:p>
            <w:pPr>
              <w:ind w:left="80"/>
              <w:spacing w:after="0"/>
              <w:rPr>
                <w:sz w:val="20"/>
                <w:szCs w:val="20"/>
                <w:color w:val="auto"/>
              </w:rPr>
            </w:pPr>
            <w:r>
              <w:rPr>
                <w:rFonts w:ascii="Arial" w:cs="Arial" w:eastAsia="Arial" w:hAnsi="Arial"/>
                <w:sz w:val="19"/>
                <w:szCs w:val="19"/>
                <w:color w:val="auto"/>
              </w:rPr>
              <w:t>R. McHugh</w:t>
            </w:r>
          </w:p>
        </w:tc>
        <w:tc>
          <w:tcPr>
            <w:tcW w:w="320" w:type="dxa"/>
            <w:vAlign w:val="bottom"/>
            <w:shd w:val="clear" w:color="auto" w:fill="E5FFFF"/>
          </w:tcPr>
          <w:p>
            <w:pPr>
              <w:spacing w:after="0"/>
              <w:rPr>
                <w:sz w:val="23"/>
                <w:szCs w:val="23"/>
                <w:color w:val="auto"/>
              </w:rPr>
            </w:pPr>
          </w:p>
        </w:tc>
        <w:tc>
          <w:tcPr>
            <w:tcW w:w="2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940" w:type="dxa"/>
            <w:vAlign w:val="bottom"/>
            <w:gridSpan w:val="2"/>
            <w:shd w:val="clear" w:color="auto" w:fill="E5FFFF"/>
          </w:tcPr>
          <w:p>
            <w:pPr>
              <w:jc w:val="right"/>
              <w:ind w:right="261"/>
              <w:spacing w:after="0"/>
              <w:rPr>
                <w:sz w:val="20"/>
                <w:szCs w:val="20"/>
                <w:color w:val="auto"/>
              </w:rPr>
            </w:pPr>
            <w:r>
              <w:rPr>
                <w:rFonts w:ascii="Arial" w:cs="Arial" w:eastAsia="Arial" w:hAnsi="Arial"/>
                <w:sz w:val="19"/>
                <w:szCs w:val="19"/>
                <w:color w:val="auto"/>
              </w:rPr>
              <w:t>9</w:t>
            </w:r>
          </w:p>
        </w:tc>
        <w:tc>
          <w:tcPr>
            <w:tcW w:w="2320" w:type="dxa"/>
            <w:vAlign w:val="bottom"/>
            <w:gridSpan w:val="2"/>
            <w:shd w:val="clear" w:color="auto" w:fill="E5FFFF"/>
          </w:tcPr>
          <w:p>
            <w:pPr>
              <w:jc w:val="right"/>
              <w:ind w:right="91"/>
              <w:spacing w:after="0"/>
              <w:rPr>
                <w:sz w:val="20"/>
                <w:szCs w:val="20"/>
                <w:color w:val="auto"/>
              </w:rPr>
            </w:pPr>
            <w:r>
              <w:rPr>
                <w:rFonts w:ascii="Arial" w:cs="Arial" w:eastAsia="Arial" w:hAnsi="Arial"/>
                <w:sz w:val="19"/>
                <w:szCs w:val="19"/>
                <w:color w:val="auto"/>
              </w:rPr>
              <w:t>39,239</w:t>
            </w:r>
          </w:p>
        </w:tc>
        <w:tc>
          <w:tcPr>
            <w:tcW w:w="1980" w:type="dxa"/>
            <w:vAlign w:val="bottom"/>
            <w:tcBorders>
              <w:right w:val="single" w:sz="8" w:color="auto"/>
            </w:tcBorders>
            <w:gridSpan w:val="2"/>
            <w:shd w:val="clear" w:color="auto" w:fill="E5FFFF"/>
          </w:tcPr>
          <w:p>
            <w:pPr>
              <w:jc w:val="right"/>
              <w:ind w:right="381"/>
              <w:spacing w:after="0"/>
              <w:rPr>
                <w:sz w:val="20"/>
                <w:szCs w:val="20"/>
                <w:color w:val="auto"/>
              </w:rPr>
            </w:pPr>
            <w:r>
              <w:rPr>
                <w:rFonts w:ascii="Arial" w:cs="Arial" w:eastAsia="Arial" w:hAnsi="Arial"/>
                <w:sz w:val="19"/>
                <w:szCs w:val="19"/>
                <w:color w:val="auto"/>
              </w:rPr>
              <w:t>0</w:t>
            </w:r>
          </w:p>
        </w:tc>
      </w:tr>
      <w:tr>
        <w:trPr>
          <w:trHeight w:val="270"/>
        </w:trPr>
        <w:tc>
          <w:tcPr>
            <w:tcW w:w="262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940" w:type="dxa"/>
            <w:vAlign w:val="bottom"/>
            <w:gridSpan w:val="2"/>
          </w:tcPr>
          <w:p>
            <w:pPr>
              <w:jc w:val="right"/>
              <w:ind w:right="261"/>
              <w:spacing w:after="0"/>
              <w:rPr>
                <w:sz w:val="20"/>
                <w:szCs w:val="20"/>
                <w:color w:val="auto"/>
              </w:rPr>
            </w:pPr>
            <w:r>
              <w:rPr>
                <w:rFonts w:ascii="Arial" w:cs="Arial" w:eastAsia="Arial" w:hAnsi="Arial"/>
                <w:sz w:val="19"/>
                <w:szCs w:val="19"/>
                <w:color w:val="auto"/>
              </w:rPr>
              <w:t>9</w:t>
            </w:r>
          </w:p>
        </w:tc>
        <w:tc>
          <w:tcPr>
            <w:tcW w:w="2320" w:type="dxa"/>
            <w:vAlign w:val="bottom"/>
            <w:gridSpan w:val="2"/>
          </w:tcPr>
          <w:p>
            <w:pPr>
              <w:jc w:val="right"/>
              <w:ind w:right="91"/>
              <w:spacing w:after="0"/>
              <w:rPr>
                <w:sz w:val="20"/>
                <w:szCs w:val="20"/>
                <w:color w:val="auto"/>
              </w:rPr>
            </w:pPr>
            <w:r>
              <w:rPr>
                <w:rFonts w:ascii="Arial" w:cs="Arial" w:eastAsia="Arial" w:hAnsi="Arial"/>
                <w:sz w:val="19"/>
                <w:szCs w:val="19"/>
                <w:color w:val="auto"/>
              </w:rPr>
              <w:t>58,846</w:t>
            </w:r>
          </w:p>
        </w:tc>
        <w:tc>
          <w:tcPr>
            <w:tcW w:w="320" w:type="dxa"/>
            <w:vAlign w:val="bottom"/>
          </w:tcPr>
          <w:p>
            <w:pPr>
              <w:spacing w:after="0"/>
              <w:rPr>
                <w:sz w:val="23"/>
                <w:szCs w:val="23"/>
                <w:color w:val="auto"/>
              </w:rPr>
            </w:pPr>
          </w:p>
        </w:tc>
        <w:tc>
          <w:tcPr>
            <w:tcW w:w="1660" w:type="dxa"/>
            <w:vAlign w:val="bottom"/>
            <w:tcBorders>
              <w:right w:val="single" w:sz="8" w:color="auto"/>
            </w:tcBorders>
          </w:tcPr>
          <w:p>
            <w:pPr>
              <w:spacing w:after="0"/>
              <w:rPr>
                <w:sz w:val="23"/>
                <w:szCs w:val="23"/>
                <w:color w:val="auto"/>
              </w:rPr>
            </w:pPr>
          </w:p>
        </w:tc>
      </w:tr>
      <w:tr>
        <w:trPr>
          <w:trHeight w:val="265"/>
        </w:trPr>
        <w:tc>
          <w:tcPr>
            <w:tcW w:w="2620" w:type="dxa"/>
            <w:vAlign w:val="bottom"/>
            <w:tcBorders>
              <w:left w:val="single" w:sz="8" w:color="auto"/>
            </w:tcBorders>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940" w:type="dxa"/>
            <w:vAlign w:val="bottom"/>
            <w:gridSpan w:val="2"/>
            <w:shd w:val="clear" w:color="auto" w:fill="E5FFFF"/>
          </w:tcPr>
          <w:p>
            <w:pPr>
              <w:jc w:val="right"/>
              <w:ind w:right="261"/>
              <w:spacing w:after="0"/>
              <w:rPr>
                <w:sz w:val="20"/>
                <w:szCs w:val="20"/>
                <w:color w:val="auto"/>
              </w:rPr>
            </w:pPr>
            <w:r>
              <w:rPr>
                <w:rFonts w:ascii="Arial" w:cs="Arial" w:eastAsia="Arial" w:hAnsi="Arial"/>
                <w:sz w:val="19"/>
                <w:szCs w:val="19"/>
                <w:color w:val="auto"/>
              </w:rPr>
              <w:t>3</w:t>
            </w:r>
          </w:p>
        </w:tc>
        <w:tc>
          <w:tcPr>
            <w:tcW w:w="300" w:type="dxa"/>
            <w:vAlign w:val="bottom"/>
            <w:shd w:val="clear" w:color="auto" w:fill="E5FFFF"/>
          </w:tcPr>
          <w:p>
            <w:pPr>
              <w:spacing w:after="0"/>
              <w:rPr>
                <w:sz w:val="23"/>
                <w:szCs w:val="23"/>
                <w:color w:val="auto"/>
              </w:rPr>
            </w:pPr>
          </w:p>
        </w:tc>
        <w:tc>
          <w:tcPr>
            <w:tcW w:w="2020" w:type="dxa"/>
            <w:vAlign w:val="bottom"/>
            <w:tcBorders>
              <w:bottom w:val="single" w:sz="8" w:color="auto"/>
            </w:tcBorders>
            <w:shd w:val="clear" w:color="auto" w:fill="E5FFFF"/>
          </w:tcPr>
          <w:p>
            <w:pPr>
              <w:jc w:val="right"/>
              <w:ind w:right="91"/>
              <w:spacing w:after="0"/>
              <w:rPr>
                <w:sz w:val="20"/>
                <w:szCs w:val="20"/>
                <w:color w:val="auto"/>
              </w:rPr>
            </w:pPr>
            <w:r>
              <w:rPr>
                <w:rFonts w:ascii="Arial" w:cs="Arial" w:eastAsia="Arial" w:hAnsi="Arial"/>
                <w:sz w:val="19"/>
                <w:szCs w:val="19"/>
                <w:color w:val="auto"/>
              </w:rPr>
              <w:t>46,139</w:t>
            </w:r>
          </w:p>
        </w:tc>
        <w:tc>
          <w:tcPr>
            <w:tcW w:w="320" w:type="dxa"/>
            <w:vAlign w:val="bottom"/>
            <w:shd w:val="clear" w:color="auto" w:fill="E5FFFF"/>
          </w:tcPr>
          <w:p>
            <w:pPr>
              <w:spacing w:after="0"/>
              <w:rPr>
                <w:sz w:val="23"/>
                <w:szCs w:val="23"/>
                <w:color w:val="auto"/>
              </w:rPr>
            </w:pPr>
          </w:p>
        </w:tc>
        <w:tc>
          <w:tcPr>
            <w:tcW w:w="1660" w:type="dxa"/>
            <w:vAlign w:val="bottom"/>
            <w:tcBorders>
              <w:right w:val="single" w:sz="8" w:color="auto"/>
            </w:tcBorders>
            <w:shd w:val="clear" w:color="auto" w:fill="E5FFFF"/>
          </w:tcPr>
          <w:p>
            <w:pPr>
              <w:spacing w:after="0"/>
              <w:rPr>
                <w:sz w:val="23"/>
                <w:szCs w:val="23"/>
                <w:color w:val="auto"/>
              </w:rPr>
            </w:pPr>
          </w:p>
        </w:tc>
      </w:tr>
      <w:tr>
        <w:trPr>
          <w:trHeight w:val="520"/>
        </w:trPr>
        <w:tc>
          <w:tcPr>
            <w:tcW w:w="262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20" w:type="dxa"/>
            <w:vAlign w:val="bottom"/>
            <w:gridSpan w:val="2"/>
          </w:tcPr>
          <w:p>
            <w:pPr>
              <w:jc w:val="right"/>
              <w:ind w:right="91"/>
              <w:spacing w:after="0"/>
              <w:rPr>
                <w:sz w:val="20"/>
                <w:szCs w:val="20"/>
                <w:color w:val="auto"/>
              </w:rPr>
            </w:pPr>
            <w:r>
              <w:rPr>
                <w:rFonts w:ascii="Arial" w:cs="Arial" w:eastAsia="Arial" w:hAnsi="Arial"/>
                <w:sz w:val="19"/>
                <w:szCs w:val="19"/>
                <w:color w:val="auto"/>
              </w:rPr>
              <w:t>144,224</w:t>
            </w:r>
          </w:p>
        </w:tc>
        <w:tc>
          <w:tcPr>
            <w:tcW w:w="32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r>
      <w:tr>
        <w:trPr>
          <w:trHeight w:val="255"/>
        </w:trPr>
        <w:tc>
          <w:tcPr>
            <w:tcW w:w="262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2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r>
      <w:tr>
        <w:trPr>
          <w:trHeight w:val="270"/>
        </w:trPr>
        <w:tc>
          <w:tcPr>
            <w:tcW w:w="2620" w:type="dxa"/>
            <w:vAlign w:val="bottom"/>
            <w:tcBorders>
              <w:left w:val="single" w:sz="8" w:color="auto"/>
            </w:tcBorders>
            <w:shd w:val="clear" w:color="auto" w:fill="E5FFFF"/>
          </w:tcPr>
          <w:p>
            <w:pPr>
              <w:ind w:left="80"/>
              <w:spacing w:after="0"/>
              <w:rPr>
                <w:sz w:val="20"/>
                <w:szCs w:val="20"/>
                <w:color w:val="auto"/>
              </w:rPr>
            </w:pPr>
            <w:r>
              <w:rPr>
                <w:rFonts w:ascii="Arial" w:cs="Arial" w:eastAsia="Arial" w:hAnsi="Arial"/>
                <w:sz w:val="19"/>
                <w:szCs w:val="19"/>
                <w:color w:val="auto"/>
              </w:rPr>
              <w:t>R. Mina</w:t>
            </w:r>
          </w:p>
        </w:tc>
        <w:tc>
          <w:tcPr>
            <w:tcW w:w="320" w:type="dxa"/>
            <w:vAlign w:val="bottom"/>
            <w:shd w:val="clear" w:color="auto" w:fill="E5FFFF"/>
          </w:tcPr>
          <w:p>
            <w:pPr>
              <w:spacing w:after="0"/>
              <w:rPr>
                <w:sz w:val="23"/>
                <w:szCs w:val="23"/>
                <w:color w:val="auto"/>
              </w:rPr>
            </w:pPr>
          </w:p>
        </w:tc>
        <w:tc>
          <w:tcPr>
            <w:tcW w:w="2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940" w:type="dxa"/>
            <w:vAlign w:val="bottom"/>
            <w:gridSpan w:val="2"/>
            <w:shd w:val="clear" w:color="auto" w:fill="E5FFFF"/>
          </w:tcPr>
          <w:p>
            <w:pPr>
              <w:jc w:val="right"/>
              <w:ind w:right="261"/>
              <w:spacing w:after="0"/>
              <w:rPr>
                <w:sz w:val="20"/>
                <w:szCs w:val="20"/>
                <w:color w:val="auto"/>
              </w:rPr>
            </w:pPr>
            <w:r>
              <w:rPr>
                <w:rFonts w:ascii="Arial" w:cs="Arial" w:eastAsia="Arial" w:hAnsi="Arial"/>
                <w:sz w:val="19"/>
                <w:szCs w:val="19"/>
                <w:color w:val="auto"/>
              </w:rPr>
              <w:t>26</w:t>
            </w:r>
          </w:p>
        </w:tc>
        <w:tc>
          <w:tcPr>
            <w:tcW w:w="2320" w:type="dxa"/>
            <w:vAlign w:val="bottom"/>
            <w:gridSpan w:val="2"/>
            <w:shd w:val="clear" w:color="auto" w:fill="E5FFFF"/>
          </w:tcPr>
          <w:p>
            <w:pPr>
              <w:jc w:val="right"/>
              <w:ind w:right="91"/>
              <w:spacing w:after="0"/>
              <w:rPr>
                <w:sz w:val="20"/>
                <w:szCs w:val="20"/>
                <w:color w:val="auto"/>
              </w:rPr>
            </w:pPr>
            <w:r>
              <w:rPr>
                <w:rFonts w:ascii="Arial" w:cs="Arial" w:eastAsia="Arial" w:hAnsi="Arial"/>
                <w:sz w:val="19"/>
                <w:szCs w:val="19"/>
                <w:color w:val="auto"/>
              </w:rPr>
              <w:t>150,588</w:t>
            </w:r>
          </w:p>
        </w:tc>
        <w:tc>
          <w:tcPr>
            <w:tcW w:w="1980" w:type="dxa"/>
            <w:vAlign w:val="bottom"/>
            <w:tcBorders>
              <w:right w:val="single" w:sz="8" w:color="auto"/>
            </w:tcBorders>
            <w:gridSpan w:val="2"/>
            <w:shd w:val="clear" w:color="auto" w:fill="E5FFFF"/>
          </w:tcPr>
          <w:p>
            <w:pPr>
              <w:jc w:val="right"/>
              <w:ind w:right="381"/>
              <w:spacing w:after="0"/>
              <w:rPr>
                <w:sz w:val="20"/>
                <w:szCs w:val="20"/>
                <w:color w:val="auto"/>
              </w:rPr>
            </w:pPr>
            <w:r>
              <w:rPr>
                <w:rFonts w:ascii="Arial" w:cs="Arial" w:eastAsia="Arial" w:hAnsi="Arial"/>
                <w:sz w:val="19"/>
                <w:szCs w:val="19"/>
                <w:color w:val="auto"/>
              </w:rPr>
              <w:t>0</w:t>
            </w:r>
          </w:p>
        </w:tc>
      </w:tr>
      <w:tr>
        <w:trPr>
          <w:trHeight w:val="270"/>
        </w:trPr>
        <w:tc>
          <w:tcPr>
            <w:tcW w:w="262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940" w:type="dxa"/>
            <w:vAlign w:val="bottom"/>
            <w:gridSpan w:val="2"/>
          </w:tcPr>
          <w:p>
            <w:pPr>
              <w:jc w:val="right"/>
              <w:ind w:right="261"/>
              <w:spacing w:after="0"/>
              <w:rPr>
                <w:sz w:val="20"/>
                <w:szCs w:val="20"/>
                <w:color w:val="auto"/>
              </w:rPr>
            </w:pPr>
            <w:r>
              <w:rPr>
                <w:rFonts w:ascii="Arial" w:cs="Arial" w:eastAsia="Arial" w:hAnsi="Arial"/>
                <w:sz w:val="19"/>
                <w:szCs w:val="19"/>
                <w:color w:val="auto"/>
              </w:rPr>
              <w:t>26</w:t>
            </w:r>
          </w:p>
        </w:tc>
        <w:tc>
          <w:tcPr>
            <w:tcW w:w="2320" w:type="dxa"/>
            <w:vAlign w:val="bottom"/>
            <w:gridSpan w:val="2"/>
          </w:tcPr>
          <w:p>
            <w:pPr>
              <w:jc w:val="right"/>
              <w:ind w:right="91"/>
              <w:spacing w:after="0"/>
              <w:rPr>
                <w:sz w:val="20"/>
                <w:szCs w:val="20"/>
                <w:color w:val="auto"/>
              </w:rPr>
            </w:pPr>
            <w:r>
              <w:rPr>
                <w:rFonts w:ascii="Arial" w:cs="Arial" w:eastAsia="Arial" w:hAnsi="Arial"/>
                <w:sz w:val="19"/>
                <w:szCs w:val="19"/>
                <w:color w:val="auto"/>
              </w:rPr>
              <w:t>419,366</w:t>
            </w:r>
          </w:p>
        </w:tc>
        <w:tc>
          <w:tcPr>
            <w:tcW w:w="320" w:type="dxa"/>
            <w:vAlign w:val="bottom"/>
          </w:tcPr>
          <w:p>
            <w:pPr>
              <w:spacing w:after="0"/>
              <w:rPr>
                <w:sz w:val="23"/>
                <w:szCs w:val="23"/>
                <w:color w:val="auto"/>
              </w:rPr>
            </w:pPr>
          </w:p>
        </w:tc>
        <w:tc>
          <w:tcPr>
            <w:tcW w:w="1660" w:type="dxa"/>
            <w:vAlign w:val="bottom"/>
            <w:tcBorders>
              <w:right w:val="single" w:sz="8" w:color="auto"/>
            </w:tcBorders>
          </w:tcPr>
          <w:p>
            <w:pPr>
              <w:spacing w:after="0"/>
              <w:rPr>
                <w:sz w:val="23"/>
                <w:szCs w:val="23"/>
                <w:color w:val="auto"/>
              </w:rPr>
            </w:pPr>
          </w:p>
        </w:tc>
      </w:tr>
      <w:tr>
        <w:trPr>
          <w:trHeight w:val="265"/>
        </w:trPr>
        <w:tc>
          <w:tcPr>
            <w:tcW w:w="2620" w:type="dxa"/>
            <w:vAlign w:val="bottom"/>
            <w:tcBorders>
              <w:left w:val="single" w:sz="8" w:color="auto"/>
            </w:tcBorders>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940" w:type="dxa"/>
            <w:vAlign w:val="bottom"/>
            <w:gridSpan w:val="2"/>
            <w:shd w:val="clear" w:color="auto" w:fill="E5FFFF"/>
          </w:tcPr>
          <w:p>
            <w:pPr>
              <w:jc w:val="right"/>
              <w:ind w:right="261"/>
              <w:spacing w:after="0"/>
              <w:rPr>
                <w:sz w:val="20"/>
                <w:szCs w:val="20"/>
                <w:color w:val="auto"/>
              </w:rPr>
            </w:pPr>
            <w:r>
              <w:rPr>
                <w:rFonts w:ascii="Arial" w:cs="Arial" w:eastAsia="Arial" w:hAnsi="Arial"/>
                <w:sz w:val="19"/>
                <w:szCs w:val="19"/>
                <w:color w:val="auto"/>
              </w:rPr>
              <w:t>9</w:t>
            </w:r>
          </w:p>
        </w:tc>
        <w:tc>
          <w:tcPr>
            <w:tcW w:w="300" w:type="dxa"/>
            <w:vAlign w:val="bottom"/>
            <w:shd w:val="clear" w:color="auto" w:fill="E5FFFF"/>
          </w:tcPr>
          <w:p>
            <w:pPr>
              <w:spacing w:after="0"/>
              <w:rPr>
                <w:sz w:val="23"/>
                <w:szCs w:val="23"/>
                <w:color w:val="auto"/>
              </w:rPr>
            </w:pPr>
          </w:p>
        </w:tc>
        <w:tc>
          <w:tcPr>
            <w:tcW w:w="2020" w:type="dxa"/>
            <w:vAlign w:val="bottom"/>
            <w:tcBorders>
              <w:bottom w:val="single" w:sz="8" w:color="auto"/>
            </w:tcBorders>
            <w:shd w:val="clear" w:color="auto" w:fill="E5FFFF"/>
          </w:tcPr>
          <w:p>
            <w:pPr>
              <w:jc w:val="right"/>
              <w:ind w:right="91"/>
              <w:spacing w:after="0"/>
              <w:rPr>
                <w:sz w:val="20"/>
                <w:szCs w:val="20"/>
                <w:color w:val="auto"/>
              </w:rPr>
            </w:pPr>
            <w:r>
              <w:rPr>
                <w:rFonts w:ascii="Arial" w:cs="Arial" w:eastAsia="Arial" w:hAnsi="Arial"/>
                <w:sz w:val="19"/>
                <w:szCs w:val="19"/>
                <w:color w:val="auto"/>
              </w:rPr>
              <w:t>840,302</w:t>
            </w:r>
          </w:p>
        </w:tc>
        <w:tc>
          <w:tcPr>
            <w:tcW w:w="320" w:type="dxa"/>
            <w:vAlign w:val="bottom"/>
            <w:shd w:val="clear" w:color="auto" w:fill="E5FFFF"/>
          </w:tcPr>
          <w:p>
            <w:pPr>
              <w:spacing w:after="0"/>
              <w:rPr>
                <w:sz w:val="23"/>
                <w:szCs w:val="23"/>
                <w:color w:val="auto"/>
              </w:rPr>
            </w:pPr>
          </w:p>
        </w:tc>
        <w:tc>
          <w:tcPr>
            <w:tcW w:w="1660" w:type="dxa"/>
            <w:vAlign w:val="bottom"/>
            <w:tcBorders>
              <w:right w:val="single" w:sz="8" w:color="auto"/>
            </w:tcBorders>
            <w:shd w:val="clear" w:color="auto" w:fill="E5FFFF"/>
          </w:tcPr>
          <w:p>
            <w:pPr>
              <w:spacing w:after="0"/>
              <w:rPr>
                <w:sz w:val="23"/>
                <w:szCs w:val="23"/>
                <w:color w:val="auto"/>
              </w:rPr>
            </w:pPr>
          </w:p>
        </w:tc>
      </w:tr>
      <w:tr>
        <w:trPr>
          <w:trHeight w:val="520"/>
        </w:trPr>
        <w:tc>
          <w:tcPr>
            <w:tcW w:w="262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20" w:type="dxa"/>
            <w:vAlign w:val="bottom"/>
            <w:gridSpan w:val="2"/>
          </w:tcPr>
          <w:p>
            <w:pPr>
              <w:jc w:val="right"/>
              <w:ind w:right="91"/>
              <w:spacing w:after="0"/>
              <w:rPr>
                <w:sz w:val="20"/>
                <w:szCs w:val="20"/>
                <w:color w:val="auto"/>
              </w:rPr>
            </w:pPr>
            <w:r>
              <w:rPr>
                <w:rFonts w:ascii="Arial" w:cs="Arial" w:eastAsia="Arial" w:hAnsi="Arial"/>
                <w:sz w:val="19"/>
                <w:szCs w:val="19"/>
                <w:color w:val="auto"/>
              </w:rPr>
              <w:t>1,410,256</w:t>
            </w:r>
          </w:p>
        </w:tc>
        <w:tc>
          <w:tcPr>
            <w:tcW w:w="32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r>
      <w:tr>
        <w:trPr>
          <w:trHeight w:val="255"/>
        </w:trPr>
        <w:tc>
          <w:tcPr>
            <w:tcW w:w="262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2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r>
      <w:tr>
        <w:trPr>
          <w:trHeight w:val="270"/>
        </w:trPr>
        <w:tc>
          <w:tcPr>
            <w:tcW w:w="2620" w:type="dxa"/>
            <w:vAlign w:val="bottom"/>
            <w:tcBorders>
              <w:left w:val="single" w:sz="8" w:color="auto"/>
            </w:tcBorders>
            <w:shd w:val="clear" w:color="auto" w:fill="E5FFFF"/>
          </w:tcPr>
          <w:p>
            <w:pPr>
              <w:ind w:left="80"/>
              <w:spacing w:after="0"/>
              <w:rPr>
                <w:sz w:val="20"/>
                <w:szCs w:val="20"/>
                <w:color w:val="auto"/>
              </w:rPr>
            </w:pPr>
            <w:r>
              <w:rPr>
                <w:rFonts w:ascii="Arial" w:cs="Arial" w:eastAsia="Arial" w:hAnsi="Arial"/>
                <w:sz w:val="19"/>
                <w:szCs w:val="19"/>
                <w:color w:val="auto"/>
              </w:rPr>
              <w:t>R. Halls</w:t>
            </w:r>
          </w:p>
        </w:tc>
        <w:tc>
          <w:tcPr>
            <w:tcW w:w="320" w:type="dxa"/>
            <w:vAlign w:val="bottom"/>
            <w:shd w:val="clear" w:color="auto" w:fill="E5FFFF"/>
          </w:tcPr>
          <w:p>
            <w:pPr>
              <w:spacing w:after="0"/>
              <w:rPr>
                <w:sz w:val="23"/>
                <w:szCs w:val="23"/>
                <w:color w:val="auto"/>
              </w:rPr>
            </w:pPr>
          </w:p>
        </w:tc>
        <w:tc>
          <w:tcPr>
            <w:tcW w:w="2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940" w:type="dxa"/>
            <w:vAlign w:val="bottom"/>
            <w:gridSpan w:val="2"/>
            <w:shd w:val="clear" w:color="auto" w:fill="E5FFFF"/>
          </w:tcPr>
          <w:p>
            <w:pPr>
              <w:jc w:val="right"/>
              <w:ind w:right="261"/>
              <w:spacing w:after="0"/>
              <w:rPr>
                <w:sz w:val="20"/>
                <w:szCs w:val="20"/>
                <w:color w:val="auto"/>
              </w:rPr>
            </w:pPr>
            <w:r>
              <w:rPr>
                <w:rFonts w:ascii="Arial" w:cs="Arial" w:eastAsia="Arial" w:hAnsi="Arial"/>
                <w:sz w:val="19"/>
                <w:szCs w:val="19"/>
                <w:color w:val="auto"/>
              </w:rPr>
              <w:t>6</w:t>
            </w:r>
          </w:p>
        </w:tc>
        <w:tc>
          <w:tcPr>
            <w:tcW w:w="2320" w:type="dxa"/>
            <w:vAlign w:val="bottom"/>
            <w:gridSpan w:val="2"/>
            <w:shd w:val="clear" w:color="auto" w:fill="E5FFFF"/>
          </w:tcPr>
          <w:p>
            <w:pPr>
              <w:jc w:val="right"/>
              <w:ind w:right="91"/>
              <w:spacing w:after="0"/>
              <w:rPr>
                <w:sz w:val="20"/>
                <w:szCs w:val="20"/>
                <w:color w:val="auto"/>
              </w:rPr>
            </w:pPr>
            <w:r>
              <w:rPr>
                <w:rFonts w:ascii="Arial" w:cs="Arial" w:eastAsia="Arial" w:hAnsi="Arial"/>
                <w:sz w:val="19"/>
                <w:szCs w:val="19"/>
                <w:color w:val="auto"/>
              </w:rPr>
              <w:t>26,451</w:t>
            </w:r>
          </w:p>
        </w:tc>
        <w:tc>
          <w:tcPr>
            <w:tcW w:w="1980" w:type="dxa"/>
            <w:vAlign w:val="bottom"/>
            <w:tcBorders>
              <w:right w:val="single" w:sz="8" w:color="auto"/>
            </w:tcBorders>
            <w:gridSpan w:val="2"/>
            <w:shd w:val="clear" w:color="auto" w:fill="E5FFFF"/>
          </w:tcPr>
          <w:p>
            <w:pPr>
              <w:jc w:val="right"/>
              <w:ind w:right="381"/>
              <w:spacing w:after="0"/>
              <w:rPr>
                <w:sz w:val="20"/>
                <w:szCs w:val="20"/>
                <w:color w:val="auto"/>
              </w:rPr>
            </w:pPr>
            <w:r>
              <w:rPr>
                <w:rFonts w:ascii="Arial" w:cs="Arial" w:eastAsia="Arial" w:hAnsi="Arial"/>
                <w:sz w:val="19"/>
                <w:szCs w:val="19"/>
                <w:color w:val="auto"/>
              </w:rPr>
              <w:t>0</w:t>
            </w:r>
          </w:p>
        </w:tc>
      </w:tr>
      <w:tr>
        <w:trPr>
          <w:trHeight w:val="270"/>
        </w:trPr>
        <w:tc>
          <w:tcPr>
            <w:tcW w:w="262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940" w:type="dxa"/>
            <w:vAlign w:val="bottom"/>
            <w:gridSpan w:val="2"/>
          </w:tcPr>
          <w:p>
            <w:pPr>
              <w:jc w:val="right"/>
              <w:ind w:right="261"/>
              <w:spacing w:after="0"/>
              <w:rPr>
                <w:sz w:val="20"/>
                <w:szCs w:val="20"/>
                <w:color w:val="auto"/>
              </w:rPr>
            </w:pPr>
            <w:r>
              <w:rPr>
                <w:rFonts w:ascii="Arial" w:cs="Arial" w:eastAsia="Arial" w:hAnsi="Arial"/>
                <w:sz w:val="19"/>
                <w:szCs w:val="19"/>
                <w:color w:val="auto"/>
              </w:rPr>
              <w:t>6</w:t>
            </w:r>
          </w:p>
        </w:tc>
        <w:tc>
          <w:tcPr>
            <w:tcW w:w="2320" w:type="dxa"/>
            <w:vAlign w:val="bottom"/>
            <w:gridSpan w:val="2"/>
          </w:tcPr>
          <w:p>
            <w:pPr>
              <w:jc w:val="right"/>
              <w:ind w:right="91"/>
              <w:spacing w:after="0"/>
              <w:rPr>
                <w:sz w:val="20"/>
                <w:szCs w:val="20"/>
                <w:color w:val="auto"/>
              </w:rPr>
            </w:pPr>
            <w:r>
              <w:rPr>
                <w:rFonts w:ascii="Arial" w:cs="Arial" w:eastAsia="Arial" w:hAnsi="Arial"/>
                <w:sz w:val="19"/>
                <w:szCs w:val="19"/>
                <w:color w:val="auto"/>
              </w:rPr>
              <w:t>69,930</w:t>
            </w:r>
          </w:p>
        </w:tc>
        <w:tc>
          <w:tcPr>
            <w:tcW w:w="320" w:type="dxa"/>
            <w:vAlign w:val="bottom"/>
          </w:tcPr>
          <w:p>
            <w:pPr>
              <w:spacing w:after="0"/>
              <w:rPr>
                <w:sz w:val="23"/>
                <w:szCs w:val="23"/>
                <w:color w:val="auto"/>
              </w:rPr>
            </w:pPr>
          </w:p>
        </w:tc>
        <w:tc>
          <w:tcPr>
            <w:tcW w:w="1660" w:type="dxa"/>
            <w:vAlign w:val="bottom"/>
            <w:tcBorders>
              <w:right w:val="single" w:sz="8" w:color="auto"/>
            </w:tcBorders>
          </w:tcPr>
          <w:p>
            <w:pPr>
              <w:spacing w:after="0"/>
              <w:rPr>
                <w:sz w:val="23"/>
                <w:szCs w:val="23"/>
                <w:color w:val="auto"/>
              </w:rPr>
            </w:pPr>
          </w:p>
        </w:tc>
      </w:tr>
      <w:tr>
        <w:trPr>
          <w:trHeight w:val="265"/>
        </w:trPr>
        <w:tc>
          <w:tcPr>
            <w:tcW w:w="2620" w:type="dxa"/>
            <w:vAlign w:val="bottom"/>
            <w:tcBorders>
              <w:left w:val="single" w:sz="8" w:color="auto"/>
            </w:tcBorders>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940" w:type="dxa"/>
            <w:vAlign w:val="bottom"/>
            <w:gridSpan w:val="2"/>
            <w:shd w:val="clear" w:color="auto" w:fill="E5FFFF"/>
          </w:tcPr>
          <w:p>
            <w:pPr>
              <w:jc w:val="right"/>
              <w:ind w:right="261"/>
              <w:spacing w:after="0"/>
              <w:rPr>
                <w:sz w:val="20"/>
                <w:szCs w:val="20"/>
                <w:color w:val="auto"/>
              </w:rPr>
            </w:pPr>
            <w:r>
              <w:rPr>
                <w:rFonts w:ascii="Arial" w:cs="Arial" w:eastAsia="Arial" w:hAnsi="Arial"/>
                <w:sz w:val="19"/>
                <w:szCs w:val="19"/>
                <w:color w:val="auto"/>
              </w:rPr>
              <w:t>5</w:t>
            </w:r>
          </w:p>
        </w:tc>
        <w:tc>
          <w:tcPr>
            <w:tcW w:w="300" w:type="dxa"/>
            <w:vAlign w:val="bottom"/>
            <w:shd w:val="clear" w:color="auto" w:fill="E5FFFF"/>
          </w:tcPr>
          <w:p>
            <w:pPr>
              <w:spacing w:after="0"/>
              <w:rPr>
                <w:sz w:val="23"/>
                <w:szCs w:val="23"/>
                <w:color w:val="auto"/>
              </w:rPr>
            </w:pPr>
          </w:p>
        </w:tc>
        <w:tc>
          <w:tcPr>
            <w:tcW w:w="2020" w:type="dxa"/>
            <w:vAlign w:val="bottom"/>
            <w:tcBorders>
              <w:bottom w:val="single" w:sz="8" w:color="auto"/>
            </w:tcBorders>
            <w:shd w:val="clear" w:color="auto" w:fill="E5FFFF"/>
          </w:tcPr>
          <w:p>
            <w:pPr>
              <w:jc w:val="right"/>
              <w:ind w:right="91"/>
              <w:spacing w:after="0"/>
              <w:rPr>
                <w:sz w:val="20"/>
                <w:szCs w:val="20"/>
                <w:color w:val="auto"/>
              </w:rPr>
            </w:pPr>
            <w:r>
              <w:rPr>
                <w:rFonts w:ascii="Arial" w:cs="Arial" w:eastAsia="Arial" w:hAnsi="Arial"/>
                <w:sz w:val="19"/>
                <w:szCs w:val="19"/>
                <w:color w:val="auto"/>
              </w:rPr>
              <w:t>223,925</w:t>
            </w:r>
          </w:p>
        </w:tc>
        <w:tc>
          <w:tcPr>
            <w:tcW w:w="320" w:type="dxa"/>
            <w:vAlign w:val="bottom"/>
            <w:shd w:val="clear" w:color="auto" w:fill="E5FFFF"/>
          </w:tcPr>
          <w:p>
            <w:pPr>
              <w:spacing w:after="0"/>
              <w:rPr>
                <w:sz w:val="23"/>
                <w:szCs w:val="23"/>
                <w:color w:val="auto"/>
              </w:rPr>
            </w:pPr>
          </w:p>
        </w:tc>
        <w:tc>
          <w:tcPr>
            <w:tcW w:w="1660" w:type="dxa"/>
            <w:vAlign w:val="bottom"/>
            <w:tcBorders>
              <w:right w:val="single" w:sz="8" w:color="auto"/>
            </w:tcBorders>
            <w:shd w:val="clear" w:color="auto" w:fill="E5FFFF"/>
          </w:tcPr>
          <w:p>
            <w:pPr>
              <w:spacing w:after="0"/>
              <w:rPr>
                <w:sz w:val="23"/>
                <w:szCs w:val="23"/>
                <w:color w:val="auto"/>
              </w:rPr>
            </w:pPr>
          </w:p>
        </w:tc>
      </w:tr>
      <w:tr>
        <w:trPr>
          <w:trHeight w:val="520"/>
        </w:trPr>
        <w:tc>
          <w:tcPr>
            <w:tcW w:w="262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20" w:type="dxa"/>
            <w:vAlign w:val="bottom"/>
            <w:gridSpan w:val="2"/>
          </w:tcPr>
          <w:p>
            <w:pPr>
              <w:jc w:val="right"/>
              <w:ind w:right="91"/>
              <w:spacing w:after="0"/>
              <w:rPr>
                <w:sz w:val="20"/>
                <w:szCs w:val="20"/>
                <w:color w:val="auto"/>
              </w:rPr>
            </w:pPr>
            <w:r>
              <w:rPr>
                <w:rFonts w:ascii="Arial" w:cs="Arial" w:eastAsia="Arial" w:hAnsi="Arial"/>
                <w:sz w:val="19"/>
                <w:szCs w:val="19"/>
                <w:color w:val="auto"/>
              </w:rPr>
              <w:t>320,306</w:t>
            </w:r>
          </w:p>
        </w:tc>
        <w:tc>
          <w:tcPr>
            <w:tcW w:w="32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r>
      <w:tr>
        <w:trPr>
          <w:trHeight w:val="255"/>
        </w:trPr>
        <w:tc>
          <w:tcPr>
            <w:tcW w:w="262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2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r>
      <w:tr>
        <w:trPr>
          <w:trHeight w:val="270"/>
        </w:trPr>
        <w:tc>
          <w:tcPr>
            <w:tcW w:w="2620" w:type="dxa"/>
            <w:vAlign w:val="bottom"/>
            <w:tcBorders>
              <w:left w:val="single" w:sz="8" w:color="auto"/>
            </w:tcBorders>
            <w:shd w:val="clear" w:color="auto" w:fill="E5FFFF"/>
          </w:tcPr>
          <w:p>
            <w:pPr>
              <w:ind w:left="80"/>
              <w:spacing w:after="0"/>
              <w:rPr>
                <w:sz w:val="20"/>
                <w:szCs w:val="20"/>
                <w:color w:val="auto"/>
              </w:rPr>
            </w:pPr>
            <w:r>
              <w:rPr>
                <w:rFonts w:ascii="Arial" w:cs="Arial" w:eastAsia="Arial" w:hAnsi="Arial"/>
                <w:sz w:val="19"/>
                <w:szCs w:val="19"/>
                <w:color w:val="auto"/>
              </w:rPr>
              <w:t>G. Bahler</w:t>
            </w:r>
          </w:p>
        </w:tc>
        <w:tc>
          <w:tcPr>
            <w:tcW w:w="320" w:type="dxa"/>
            <w:vAlign w:val="bottom"/>
            <w:shd w:val="clear" w:color="auto" w:fill="E5FFFF"/>
          </w:tcPr>
          <w:p>
            <w:pPr>
              <w:spacing w:after="0"/>
              <w:rPr>
                <w:sz w:val="23"/>
                <w:szCs w:val="23"/>
                <w:color w:val="auto"/>
              </w:rPr>
            </w:pPr>
          </w:p>
        </w:tc>
        <w:tc>
          <w:tcPr>
            <w:tcW w:w="2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Retirement Plan</w:t>
            </w:r>
          </w:p>
        </w:tc>
        <w:tc>
          <w:tcPr>
            <w:tcW w:w="1940" w:type="dxa"/>
            <w:vAlign w:val="bottom"/>
            <w:gridSpan w:val="2"/>
            <w:shd w:val="clear" w:color="auto" w:fill="E5FFFF"/>
          </w:tcPr>
          <w:p>
            <w:pPr>
              <w:jc w:val="right"/>
              <w:ind w:right="261"/>
              <w:spacing w:after="0"/>
              <w:rPr>
                <w:sz w:val="20"/>
                <w:szCs w:val="20"/>
                <w:color w:val="auto"/>
              </w:rPr>
            </w:pPr>
            <w:r>
              <w:rPr>
                <w:rFonts w:ascii="Arial" w:cs="Arial" w:eastAsia="Arial" w:hAnsi="Arial"/>
                <w:sz w:val="19"/>
                <w:szCs w:val="19"/>
                <w:color w:val="auto"/>
              </w:rPr>
              <w:t>26</w:t>
            </w:r>
          </w:p>
        </w:tc>
        <w:tc>
          <w:tcPr>
            <w:tcW w:w="2320" w:type="dxa"/>
            <w:vAlign w:val="bottom"/>
            <w:gridSpan w:val="2"/>
            <w:shd w:val="clear" w:color="auto" w:fill="E5FFFF"/>
          </w:tcPr>
          <w:p>
            <w:pPr>
              <w:jc w:val="right"/>
              <w:ind w:right="91"/>
              <w:spacing w:after="0"/>
              <w:rPr>
                <w:sz w:val="20"/>
                <w:szCs w:val="20"/>
                <w:color w:val="auto"/>
              </w:rPr>
            </w:pPr>
            <w:r>
              <w:rPr>
                <w:rFonts w:ascii="Arial" w:cs="Arial" w:eastAsia="Arial" w:hAnsi="Arial"/>
                <w:sz w:val="19"/>
                <w:szCs w:val="19"/>
                <w:color w:val="auto"/>
              </w:rPr>
              <w:t>203,054</w:t>
            </w:r>
          </w:p>
        </w:tc>
        <w:tc>
          <w:tcPr>
            <w:tcW w:w="1980" w:type="dxa"/>
            <w:vAlign w:val="bottom"/>
            <w:tcBorders>
              <w:right w:val="single" w:sz="8" w:color="auto"/>
            </w:tcBorders>
            <w:gridSpan w:val="2"/>
            <w:shd w:val="clear" w:color="auto" w:fill="E5FFFF"/>
          </w:tcPr>
          <w:p>
            <w:pPr>
              <w:jc w:val="right"/>
              <w:ind w:right="381"/>
              <w:spacing w:after="0"/>
              <w:rPr>
                <w:sz w:val="20"/>
                <w:szCs w:val="20"/>
                <w:color w:val="auto"/>
              </w:rPr>
            </w:pPr>
            <w:r>
              <w:rPr>
                <w:rFonts w:ascii="Arial" w:cs="Arial" w:eastAsia="Arial" w:hAnsi="Arial"/>
                <w:sz w:val="19"/>
                <w:szCs w:val="19"/>
                <w:color w:val="auto"/>
              </w:rPr>
              <w:t>0</w:t>
            </w:r>
          </w:p>
        </w:tc>
      </w:tr>
      <w:tr>
        <w:trPr>
          <w:trHeight w:val="270"/>
        </w:trPr>
        <w:tc>
          <w:tcPr>
            <w:tcW w:w="2620" w:type="dxa"/>
            <w:vAlign w:val="bottom"/>
            <w:tcBorders>
              <w:left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9"/>
                <w:szCs w:val="19"/>
                <w:color w:val="auto"/>
              </w:rPr>
              <w:t>Excess Plan</w:t>
            </w:r>
          </w:p>
        </w:tc>
        <w:tc>
          <w:tcPr>
            <w:tcW w:w="1940" w:type="dxa"/>
            <w:vAlign w:val="bottom"/>
            <w:gridSpan w:val="2"/>
          </w:tcPr>
          <w:p>
            <w:pPr>
              <w:jc w:val="right"/>
              <w:ind w:right="261"/>
              <w:spacing w:after="0"/>
              <w:rPr>
                <w:sz w:val="20"/>
                <w:szCs w:val="20"/>
                <w:color w:val="auto"/>
              </w:rPr>
            </w:pPr>
            <w:r>
              <w:rPr>
                <w:rFonts w:ascii="Arial" w:cs="Arial" w:eastAsia="Arial" w:hAnsi="Arial"/>
                <w:sz w:val="19"/>
                <w:szCs w:val="19"/>
                <w:color w:val="auto"/>
              </w:rPr>
              <w:t>26</w:t>
            </w:r>
          </w:p>
        </w:tc>
        <w:tc>
          <w:tcPr>
            <w:tcW w:w="2320" w:type="dxa"/>
            <w:vAlign w:val="bottom"/>
            <w:gridSpan w:val="2"/>
          </w:tcPr>
          <w:p>
            <w:pPr>
              <w:jc w:val="right"/>
              <w:ind w:right="91"/>
              <w:spacing w:after="0"/>
              <w:rPr>
                <w:sz w:val="20"/>
                <w:szCs w:val="20"/>
                <w:color w:val="auto"/>
              </w:rPr>
            </w:pPr>
            <w:r>
              <w:rPr>
                <w:rFonts w:ascii="Arial" w:cs="Arial" w:eastAsia="Arial" w:hAnsi="Arial"/>
                <w:sz w:val="19"/>
                <w:szCs w:val="19"/>
                <w:color w:val="auto"/>
              </w:rPr>
              <w:t>246,921</w:t>
            </w:r>
          </w:p>
        </w:tc>
        <w:tc>
          <w:tcPr>
            <w:tcW w:w="320" w:type="dxa"/>
            <w:vAlign w:val="bottom"/>
          </w:tcPr>
          <w:p>
            <w:pPr>
              <w:spacing w:after="0"/>
              <w:rPr>
                <w:sz w:val="23"/>
                <w:szCs w:val="23"/>
                <w:color w:val="auto"/>
              </w:rPr>
            </w:pPr>
          </w:p>
        </w:tc>
        <w:tc>
          <w:tcPr>
            <w:tcW w:w="1660" w:type="dxa"/>
            <w:vAlign w:val="bottom"/>
            <w:tcBorders>
              <w:right w:val="single" w:sz="8" w:color="auto"/>
            </w:tcBorders>
          </w:tcPr>
          <w:p>
            <w:pPr>
              <w:spacing w:after="0"/>
              <w:rPr>
                <w:sz w:val="23"/>
                <w:szCs w:val="23"/>
                <w:color w:val="auto"/>
              </w:rPr>
            </w:pPr>
          </w:p>
        </w:tc>
      </w:tr>
      <w:tr>
        <w:trPr>
          <w:trHeight w:val="265"/>
        </w:trPr>
        <w:tc>
          <w:tcPr>
            <w:tcW w:w="2620" w:type="dxa"/>
            <w:vAlign w:val="bottom"/>
            <w:tcBorders>
              <w:left w:val="single" w:sz="8" w:color="auto"/>
            </w:tcBorders>
            <w:shd w:val="clear" w:color="auto" w:fill="E5FFFF"/>
          </w:tcPr>
          <w:p>
            <w:pPr>
              <w:spacing w:after="0"/>
              <w:rPr>
                <w:sz w:val="23"/>
                <w:szCs w:val="23"/>
                <w:color w:val="auto"/>
              </w:rPr>
            </w:pPr>
          </w:p>
        </w:tc>
        <w:tc>
          <w:tcPr>
            <w:tcW w:w="320" w:type="dxa"/>
            <w:vAlign w:val="bottom"/>
            <w:shd w:val="clear" w:color="auto" w:fill="E5FFFF"/>
          </w:tcPr>
          <w:p>
            <w:pPr>
              <w:spacing w:after="0"/>
              <w:rPr>
                <w:sz w:val="23"/>
                <w:szCs w:val="23"/>
                <w:color w:val="auto"/>
              </w:rPr>
            </w:pPr>
          </w:p>
        </w:tc>
        <w:tc>
          <w:tcPr>
            <w:tcW w:w="2240" w:type="dxa"/>
            <w:vAlign w:val="bottom"/>
            <w:shd w:val="clear" w:color="auto" w:fill="E5FFFF"/>
          </w:tcPr>
          <w:p>
            <w:pPr>
              <w:ind w:left="20"/>
              <w:spacing w:after="0"/>
              <w:rPr>
                <w:sz w:val="20"/>
                <w:szCs w:val="20"/>
                <w:color w:val="auto"/>
              </w:rPr>
            </w:pPr>
            <w:r>
              <w:rPr>
                <w:rFonts w:ascii="Arial" w:cs="Arial" w:eastAsia="Arial" w:hAnsi="Arial"/>
                <w:sz w:val="19"/>
                <w:szCs w:val="19"/>
                <w:color w:val="auto"/>
              </w:rPr>
              <w:t>SERP</w:t>
            </w:r>
          </w:p>
        </w:tc>
        <w:tc>
          <w:tcPr>
            <w:tcW w:w="1940" w:type="dxa"/>
            <w:vAlign w:val="bottom"/>
            <w:gridSpan w:val="2"/>
            <w:shd w:val="clear" w:color="auto" w:fill="E5FFFF"/>
          </w:tcPr>
          <w:p>
            <w:pPr>
              <w:jc w:val="right"/>
              <w:ind w:right="261"/>
              <w:spacing w:after="0"/>
              <w:rPr>
                <w:sz w:val="20"/>
                <w:szCs w:val="20"/>
                <w:color w:val="auto"/>
              </w:rPr>
            </w:pPr>
            <w:r>
              <w:rPr>
                <w:rFonts w:ascii="Arial" w:cs="Arial" w:eastAsia="Arial" w:hAnsi="Arial"/>
                <w:sz w:val="19"/>
                <w:szCs w:val="19"/>
                <w:color w:val="auto"/>
              </w:rPr>
              <w:t>10</w:t>
            </w:r>
          </w:p>
        </w:tc>
        <w:tc>
          <w:tcPr>
            <w:tcW w:w="300" w:type="dxa"/>
            <w:vAlign w:val="bottom"/>
            <w:shd w:val="clear" w:color="auto" w:fill="E5FFFF"/>
          </w:tcPr>
          <w:p>
            <w:pPr>
              <w:spacing w:after="0"/>
              <w:rPr>
                <w:sz w:val="23"/>
                <w:szCs w:val="23"/>
                <w:color w:val="auto"/>
              </w:rPr>
            </w:pPr>
          </w:p>
        </w:tc>
        <w:tc>
          <w:tcPr>
            <w:tcW w:w="2020" w:type="dxa"/>
            <w:vAlign w:val="bottom"/>
            <w:tcBorders>
              <w:bottom w:val="single" w:sz="8" w:color="auto"/>
            </w:tcBorders>
            <w:shd w:val="clear" w:color="auto" w:fill="E5FFFF"/>
          </w:tcPr>
          <w:p>
            <w:pPr>
              <w:jc w:val="right"/>
              <w:ind w:right="91"/>
              <w:spacing w:after="0"/>
              <w:rPr>
                <w:sz w:val="20"/>
                <w:szCs w:val="20"/>
                <w:color w:val="auto"/>
              </w:rPr>
            </w:pPr>
            <w:r>
              <w:rPr>
                <w:rFonts w:ascii="Arial" w:cs="Arial" w:eastAsia="Arial" w:hAnsi="Arial"/>
                <w:sz w:val="19"/>
                <w:szCs w:val="19"/>
                <w:color w:val="auto"/>
              </w:rPr>
              <w:t>539,812</w:t>
            </w:r>
          </w:p>
        </w:tc>
        <w:tc>
          <w:tcPr>
            <w:tcW w:w="320" w:type="dxa"/>
            <w:vAlign w:val="bottom"/>
            <w:shd w:val="clear" w:color="auto" w:fill="E5FFFF"/>
          </w:tcPr>
          <w:p>
            <w:pPr>
              <w:spacing w:after="0"/>
              <w:rPr>
                <w:sz w:val="23"/>
                <w:szCs w:val="23"/>
                <w:color w:val="auto"/>
              </w:rPr>
            </w:pPr>
          </w:p>
        </w:tc>
        <w:tc>
          <w:tcPr>
            <w:tcW w:w="1660" w:type="dxa"/>
            <w:vAlign w:val="bottom"/>
            <w:tcBorders>
              <w:right w:val="single" w:sz="8" w:color="auto"/>
            </w:tcBorders>
            <w:shd w:val="clear" w:color="auto" w:fill="E5FFFF"/>
          </w:tcPr>
          <w:p>
            <w:pPr>
              <w:spacing w:after="0"/>
              <w:rPr>
                <w:sz w:val="23"/>
                <w:szCs w:val="23"/>
                <w:color w:val="auto"/>
              </w:rPr>
            </w:pPr>
          </w:p>
        </w:tc>
      </w:tr>
      <w:tr>
        <w:trPr>
          <w:trHeight w:val="520"/>
        </w:trPr>
        <w:tc>
          <w:tcPr>
            <w:tcW w:w="262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20" w:type="dxa"/>
            <w:vAlign w:val="bottom"/>
            <w:gridSpan w:val="2"/>
          </w:tcPr>
          <w:p>
            <w:pPr>
              <w:jc w:val="right"/>
              <w:ind w:right="91"/>
              <w:spacing w:after="0"/>
              <w:rPr>
                <w:sz w:val="20"/>
                <w:szCs w:val="20"/>
                <w:color w:val="auto"/>
              </w:rPr>
            </w:pPr>
            <w:r>
              <w:rPr>
                <w:rFonts w:ascii="Arial" w:cs="Arial" w:eastAsia="Arial" w:hAnsi="Arial"/>
                <w:sz w:val="19"/>
                <w:szCs w:val="19"/>
                <w:color w:val="auto"/>
              </w:rPr>
              <w:t>989,787</w:t>
            </w:r>
          </w:p>
        </w:tc>
        <w:tc>
          <w:tcPr>
            <w:tcW w:w="320" w:type="dxa"/>
            <w:vAlign w:val="bottom"/>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r>
      <w:tr>
        <w:trPr>
          <w:trHeight w:val="252"/>
        </w:trPr>
        <w:tc>
          <w:tcPr>
            <w:tcW w:w="262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Pension Benefits Table</w:t>
      </w:r>
    </w:p>
    <w:p>
      <w:pPr>
        <w:spacing w:after="0" w:line="173" w:lineRule="exact"/>
        <w:rPr>
          <w:sz w:val="20"/>
          <w:szCs w:val="20"/>
          <w:color w:val="auto"/>
        </w:rPr>
      </w:pPr>
    </w:p>
    <w:p>
      <w:pPr>
        <w:ind w:left="420" w:right="100" w:hanging="314"/>
        <w:spacing w:after="0" w:line="281" w:lineRule="auto"/>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general, the present value of accumulated benefits was determined using the same measurement date (February 2, 2008) and assumptions used for financial reporting purposes. Expected retirement age for the Retirement Plan and the Excess Plan is equal to normal retirement age as defined by the plans. For the SERP, the age at which Participants become eligible for retirement under the plan is used as the expected retirement age. The following are the key assumptions that were used in calculating the values in the table:</w:t>
      </w:r>
    </w:p>
    <w:p>
      <w:pPr>
        <w:spacing w:after="0" w:line="111" w:lineRule="exact"/>
        <w:rPr>
          <w:rFonts w:ascii="Arial" w:cs="Arial" w:eastAsia="Arial" w:hAnsi="Arial"/>
          <w:sz w:val="18"/>
          <w:szCs w:val="18"/>
          <w:color w:val="auto"/>
        </w:rPr>
      </w:pPr>
    </w:p>
    <w:p>
      <w:pPr>
        <w:ind w:left="900" w:hanging="159"/>
        <w:spacing w:after="0"/>
        <w:tabs>
          <w:tab w:leader="none" w:pos="900" w:val="left"/>
        </w:tabs>
        <w:numPr>
          <w:ilvl w:val="1"/>
          <w:numId w:val="57"/>
        </w:numPr>
        <w:rPr>
          <w:rFonts w:ascii="Arial" w:cs="Arial" w:eastAsia="Arial" w:hAnsi="Arial"/>
          <w:sz w:val="19"/>
          <w:szCs w:val="19"/>
          <w:color w:val="auto"/>
        </w:rPr>
      </w:pPr>
      <w:r>
        <w:rPr>
          <w:rFonts w:ascii="Arial" w:cs="Arial" w:eastAsia="Arial" w:hAnsi="Arial"/>
          <w:sz w:val="19"/>
          <w:szCs w:val="19"/>
          <w:color w:val="auto"/>
        </w:rPr>
        <w:t>FAS 87 Discount rate of 6.1 percent.</w:t>
      </w:r>
    </w:p>
    <w:p>
      <w:pPr>
        <w:spacing w:after="0" w:line="146" w:lineRule="exact"/>
        <w:rPr>
          <w:rFonts w:ascii="Arial" w:cs="Arial" w:eastAsia="Arial" w:hAnsi="Arial"/>
          <w:sz w:val="19"/>
          <w:szCs w:val="19"/>
          <w:color w:val="auto"/>
        </w:rPr>
      </w:pPr>
    </w:p>
    <w:p>
      <w:pPr>
        <w:ind w:left="900" w:right="420" w:hanging="159"/>
        <w:spacing w:after="0" w:line="283" w:lineRule="auto"/>
        <w:tabs>
          <w:tab w:leader="none" w:pos="900" w:val="left"/>
        </w:tabs>
        <w:numPr>
          <w:ilvl w:val="1"/>
          <w:numId w:val="57"/>
        </w:numPr>
        <w:rPr>
          <w:rFonts w:ascii="Arial" w:cs="Arial" w:eastAsia="Arial" w:hAnsi="Arial"/>
          <w:sz w:val="19"/>
          <w:szCs w:val="19"/>
          <w:color w:val="auto"/>
        </w:rPr>
      </w:pPr>
      <w:r>
        <w:rPr>
          <w:rFonts w:ascii="Arial" w:cs="Arial" w:eastAsia="Arial" w:hAnsi="Arial"/>
          <w:sz w:val="19"/>
          <w:szCs w:val="19"/>
          <w:color w:val="auto"/>
        </w:rPr>
        <w:t>Retirement age is assumed to be 65 for the Retirement Plan and the Excess Plan; for the SERP the retirement age is assumed to be when age plus years of service equal 65.</w:t>
      </w:r>
    </w:p>
    <w:p>
      <w:pPr>
        <w:spacing w:after="0" w:line="65" w:lineRule="exact"/>
        <w:rPr>
          <w:rFonts w:ascii="Arial" w:cs="Arial" w:eastAsia="Arial" w:hAnsi="Arial"/>
          <w:sz w:val="19"/>
          <w:szCs w:val="19"/>
          <w:color w:val="auto"/>
        </w:rPr>
      </w:pPr>
    </w:p>
    <w:p>
      <w:pPr>
        <w:ind w:left="900" w:hanging="159"/>
        <w:spacing w:after="0"/>
        <w:tabs>
          <w:tab w:leader="none" w:pos="900" w:val="left"/>
        </w:tabs>
        <w:numPr>
          <w:ilvl w:val="1"/>
          <w:numId w:val="57"/>
        </w:numPr>
        <w:rPr>
          <w:rFonts w:ascii="Arial" w:cs="Arial" w:eastAsia="Arial" w:hAnsi="Arial"/>
          <w:sz w:val="19"/>
          <w:szCs w:val="19"/>
          <w:color w:val="auto"/>
        </w:rPr>
      </w:pPr>
      <w:r>
        <w:rPr>
          <w:rFonts w:ascii="Arial" w:cs="Arial" w:eastAsia="Arial" w:hAnsi="Arial"/>
          <w:sz w:val="19"/>
          <w:szCs w:val="19"/>
          <w:color w:val="auto"/>
        </w:rPr>
        <w:t>417(e) interest rate of 6 percent.</w:t>
      </w:r>
    </w:p>
    <w:p>
      <w:pPr>
        <w:spacing w:after="0" w:line="132" w:lineRule="exact"/>
        <w:rPr>
          <w:rFonts w:ascii="Arial" w:cs="Arial" w:eastAsia="Arial" w:hAnsi="Arial"/>
          <w:sz w:val="19"/>
          <w:szCs w:val="19"/>
          <w:color w:val="auto"/>
        </w:rPr>
      </w:pPr>
    </w:p>
    <w:p>
      <w:pPr>
        <w:ind w:left="900" w:right="660" w:hanging="159"/>
        <w:spacing w:after="0" w:line="283" w:lineRule="auto"/>
        <w:tabs>
          <w:tab w:leader="none" w:pos="900" w:val="left"/>
        </w:tabs>
        <w:numPr>
          <w:ilvl w:val="1"/>
          <w:numId w:val="57"/>
        </w:numPr>
        <w:rPr>
          <w:rFonts w:ascii="Arial" w:cs="Arial" w:eastAsia="Arial" w:hAnsi="Arial"/>
          <w:sz w:val="19"/>
          <w:szCs w:val="19"/>
          <w:color w:val="auto"/>
        </w:rPr>
      </w:pPr>
      <w:r>
        <w:rPr>
          <w:rFonts w:ascii="Arial" w:cs="Arial" w:eastAsia="Arial" w:hAnsi="Arial"/>
          <w:sz w:val="19"/>
          <w:szCs w:val="19"/>
          <w:color w:val="auto"/>
        </w:rPr>
        <w:t>Form of payment for the Retirement Plan and the Excess Plan is a lump sum; the form of payment for the SERP is 12 quarterly installments.</w:t>
      </w:r>
    </w:p>
    <w:p>
      <w:pPr>
        <w:spacing w:after="0" w:line="160" w:lineRule="exact"/>
        <w:rPr>
          <w:sz w:val="20"/>
          <w:szCs w:val="20"/>
          <w:color w:val="auto"/>
        </w:rPr>
      </w:pPr>
    </w:p>
    <w:p>
      <w:pPr>
        <w:ind w:left="360" w:right="360"/>
        <w:spacing w:after="0" w:line="262" w:lineRule="auto"/>
        <w:rPr>
          <w:sz w:val="20"/>
          <w:szCs w:val="20"/>
          <w:color w:val="auto"/>
        </w:rPr>
      </w:pPr>
      <w:r>
        <w:rPr>
          <w:rFonts w:ascii="Arial" w:cs="Arial" w:eastAsia="Arial" w:hAnsi="Arial"/>
          <w:sz w:val="19"/>
          <w:szCs w:val="19"/>
          <w:color w:val="auto"/>
        </w:rPr>
        <w:t>The years of service for the SERP reflect the number of years that the executive has been approved by the Compensation Committee as a participant in that plan. Mr. Serra’s years of service under the Retirement Plan and the Excess Plan are less than the number of years of credited service under the SERP because of the requirement that an employee must complete a year of eligibility service before becoming eligible for participation in these plans.</w:t>
      </w:r>
    </w:p>
    <w:p>
      <w:pPr>
        <w:sectPr>
          <w:pgSz w:w="11900" w:h="16838" w:orient="portrait"/>
          <w:cols w:equalWidth="0" w:num="1">
            <w:col w:w="11420"/>
          </w:cols>
          <w:pgMar w:left="240" w:top="120" w:right="23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9"/>
          <w:szCs w:val="19"/>
          <w:b w:val="1"/>
          <w:bCs w:val="1"/>
          <w:color w:val="auto"/>
        </w:rPr>
        <w:t>Trust Agreement for Certain Benefit Plans</w:t>
      </w:r>
    </w:p>
    <w:p>
      <w:pPr>
        <w:spacing w:after="0" w:line="125"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The Company has established a trust for certain benefit plans, arrangements, and agreements, including the Supplemental Executive Retirement Plan, the Foot Locker Excess Cash Balance Plan, the executive employment agreements, and other benefit plans, agreements or arrangements that may be covered at a later date (collectively, the “Benefit Obligations”). Under the trust agreement, if there is a Change in Control of the Company (as defined in the Trust agreement), the trustee would pay to the persons entitled to the Benefit Obligations the amounts to which they may become entitled under the Benefit Obligations. Upon the occurrence of a Potential Change in Control of the Company as defined in the trust agreement, the Company is required to fund the trust with an amount sufficient to pay the total amount of the Benefit Obligations. Following the occurrence, and during the pendency, of a Potential Change in Control, the trustee would be required to make payments of Benefit Obligations to the extent these payments are not made by the Company.</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EQUITY COMPENSATION PLAN INFORMATION</w:t>
      </w:r>
    </w:p>
    <w:p>
      <w:pPr>
        <w:spacing w:after="0" w:line="12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following table provides information as of February 2, 2008 for compensation plans under which equity securities may be issued.</w:t>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549"/>
        </w:trPr>
        <w:tc>
          <w:tcPr>
            <w:tcW w:w="140" w:type="dxa"/>
            <w:vAlign w:val="bottom"/>
            <w:tcBorders>
              <w:top w:val="single" w:sz="8" w:color="auto"/>
              <w:left w:val="single" w:sz="8" w:color="auto"/>
            </w:tcBorders>
          </w:tcPr>
          <w:p>
            <w:pPr>
              <w:spacing w:after="0"/>
              <w:rPr>
                <w:sz w:val="24"/>
                <w:szCs w:val="24"/>
                <w:color w:val="auto"/>
              </w:rPr>
            </w:pPr>
          </w:p>
        </w:tc>
        <w:tc>
          <w:tcPr>
            <w:tcW w:w="488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(a)</w:t>
            </w:r>
          </w:p>
        </w:tc>
        <w:tc>
          <w:tcPr>
            <w:tcW w:w="36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jc w:val="center"/>
              <w:ind w:right="234"/>
              <w:spacing w:after="0"/>
              <w:rPr>
                <w:sz w:val="20"/>
                <w:szCs w:val="20"/>
                <w:color w:val="auto"/>
              </w:rPr>
            </w:pPr>
            <w:r>
              <w:rPr>
                <w:rFonts w:ascii="Arial" w:cs="Arial" w:eastAsia="Arial" w:hAnsi="Arial"/>
                <w:sz w:val="16"/>
                <w:szCs w:val="16"/>
                <w:b w:val="1"/>
                <w:bCs w:val="1"/>
                <w:color w:val="auto"/>
                <w:w w:val="97"/>
              </w:rPr>
              <w:t>(b)</w:t>
            </w:r>
          </w:p>
        </w:tc>
        <w:tc>
          <w:tcPr>
            <w:tcW w:w="1980" w:type="dxa"/>
            <w:vAlign w:val="bottom"/>
            <w:tcBorders>
              <w:top w:val="single" w:sz="8" w:color="auto"/>
            </w:tcBorders>
          </w:tcPr>
          <w:p>
            <w:pPr>
              <w:jc w:val="center"/>
              <w:ind w:left="36"/>
              <w:spacing w:after="0"/>
              <w:rPr>
                <w:sz w:val="20"/>
                <w:szCs w:val="20"/>
                <w:color w:val="auto"/>
              </w:rPr>
            </w:pPr>
            <w:r>
              <w:rPr>
                <w:rFonts w:ascii="Arial" w:cs="Arial" w:eastAsia="Arial" w:hAnsi="Arial"/>
                <w:sz w:val="16"/>
                <w:szCs w:val="16"/>
                <w:b w:val="1"/>
                <w:bCs w:val="1"/>
                <w:color w:val="auto"/>
                <w:w w:val="91"/>
              </w:rPr>
              <w:t>(c)</w:t>
            </w:r>
          </w:p>
        </w:tc>
        <w:tc>
          <w:tcPr>
            <w:tcW w:w="240" w:type="dxa"/>
            <w:vAlign w:val="bottom"/>
            <w:tcBorders>
              <w:top w:val="single" w:sz="8" w:color="auto"/>
              <w:right w:val="single" w:sz="8" w:color="auto"/>
            </w:tcBorders>
          </w:tcPr>
          <w:p>
            <w:pPr>
              <w:spacing w:after="0"/>
              <w:rPr>
                <w:sz w:val="24"/>
                <w:szCs w:val="24"/>
                <w:color w:val="auto"/>
              </w:rPr>
            </w:pPr>
          </w:p>
        </w:tc>
      </w:tr>
      <w:tr>
        <w:trPr>
          <w:trHeight w:val="49"/>
        </w:trPr>
        <w:tc>
          <w:tcPr>
            <w:tcW w:w="140" w:type="dxa"/>
            <w:vAlign w:val="bottom"/>
            <w:tcBorders>
              <w:left w:val="single" w:sz="8" w:color="auto"/>
            </w:tcBorders>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r>
      <w:tr>
        <w:trPr>
          <w:trHeight w:val="159"/>
        </w:trPr>
        <w:tc>
          <w:tcPr>
            <w:tcW w:w="140" w:type="dxa"/>
            <w:vAlign w:val="bottom"/>
            <w:tcBorders>
              <w:left w:val="single" w:sz="8" w:color="auto"/>
            </w:tcBorders>
          </w:tcPr>
          <w:p>
            <w:pPr>
              <w:spacing w:after="0"/>
              <w:rPr>
                <w:sz w:val="13"/>
                <w:szCs w:val="13"/>
                <w:color w:val="auto"/>
              </w:rPr>
            </w:pPr>
          </w:p>
        </w:tc>
        <w:tc>
          <w:tcPr>
            <w:tcW w:w="4880" w:type="dxa"/>
            <w:vAlign w:val="bottom"/>
          </w:tcPr>
          <w:p>
            <w:pPr>
              <w:ind w:left="1880"/>
              <w:spacing w:after="0" w:line="159" w:lineRule="exact"/>
              <w:rPr>
                <w:sz w:val="20"/>
                <w:szCs w:val="20"/>
                <w:color w:val="auto"/>
              </w:rPr>
            </w:pPr>
            <w:r>
              <w:rPr>
                <w:rFonts w:ascii="Arial" w:cs="Arial" w:eastAsia="Arial" w:hAnsi="Arial"/>
                <w:sz w:val="16"/>
                <w:szCs w:val="16"/>
                <w:b w:val="1"/>
                <w:bCs w:val="1"/>
                <w:color w:val="auto"/>
              </w:rPr>
              <w:t>Plan Category</w:t>
            </w:r>
          </w:p>
        </w:tc>
        <w:tc>
          <w:tcPr>
            <w:tcW w:w="202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Number of Securities</w:t>
            </w:r>
          </w:p>
        </w:tc>
        <w:tc>
          <w:tcPr>
            <w:tcW w:w="360" w:type="dxa"/>
            <w:vAlign w:val="bottom"/>
          </w:tcPr>
          <w:p>
            <w:pPr>
              <w:spacing w:after="0"/>
              <w:rPr>
                <w:sz w:val="13"/>
                <w:szCs w:val="13"/>
                <w:color w:val="auto"/>
              </w:rPr>
            </w:pPr>
          </w:p>
        </w:tc>
        <w:tc>
          <w:tcPr>
            <w:tcW w:w="1800" w:type="dxa"/>
            <w:vAlign w:val="bottom"/>
          </w:tcPr>
          <w:p>
            <w:pPr>
              <w:jc w:val="center"/>
              <w:ind w:right="234"/>
              <w:spacing w:after="0" w:line="159" w:lineRule="exact"/>
              <w:rPr>
                <w:sz w:val="20"/>
                <w:szCs w:val="20"/>
                <w:color w:val="auto"/>
              </w:rPr>
            </w:pPr>
            <w:r>
              <w:rPr>
                <w:rFonts w:ascii="Arial" w:cs="Arial" w:eastAsia="Arial" w:hAnsi="Arial"/>
                <w:sz w:val="16"/>
                <w:szCs w:val="16"/>
                <w:b w:val="1"/>
                <w:bCs w:val="1"/>
                <w:color w:val="auto"/>
                <w:w w:val="88"/>
              </w:rPr>
              <w:t>Weighted-Average</w:t>
            </w:r>
          </w:p>
        </w:tc>
        <w:tc>
          <w:tcPr>
            <w:tcW w:w="1980" w:type="dxa"/>
            <w:vAlign w:val="bottom"/>
          </w:tcPr>
          <w:p>
            <w:pPr>
              <w:jc w:val="center"/>
              <w:ind w:left="56"/>
              <w:spacing w:after="0" w:line="159" w:lineRule="exact"/>
              <w:rPr>
                <w:sz w:val="20"/>
                <w:szCs w:val="20"/>
                <w:color w:val="auto"/>
              </w:rPr>
            </w:pPr>
            <w:r>
              <w:rPr>
                <w:rFonts w:ascii="Arial" w:cs="Arial" w:eastAsia="Arial" w:hAnsi="Arial"/>
                <w:sz w:val="16"/>
                <w:szCs w:val="16"/>
                <w:b w:val="1"/>
                <w:bCs w:val="1"/>
                <w:color w:val="auto"/>
                <w:w w:val="89"/>
              </w:rPr>
              <w:t>Number of Securities</w:t>
            </w:r>
          </w:p>
        </w:tc>
        <w:tc>
          <w:tcPr>
            <w:tcW w:w="240" w:type="dxa"/>
            <w:vAlign w:val="bottom"/>
            <w:tcBorders>
              <w:right w:val="single" w:sz="8" w:color="auto"/>
            </w:tcBorders>
          </w:tcPr>
          <w:p>
            <w:pPr>
              <w:spacing w:after="0"/>
              <w:rPr>
                <w:sz w:val="13"/>
                <w:szCs w:val="13"/>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488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to be Issued Upon</w:t>
            </w:r>
          </w:p>
        </w:tc>
        <w:tc>
          <w:tcPr>
            <w:tcW w:w="360" w:type="dxa"/>
            <w:vAlign w:val="bottom"/>
          </w:tcPr>
          <w:p>
            <w:pPr>
              <w:spacing w:after="0"/>
              <w:rPr>
                <w:sz w:val="15"/>
                <w:szCs w:val="15"/>
                <w:color w:val="auto"/>
              </w:rPr>
            </w:pPr>
          </w:p>
        </w:tc>
        <w:tc>
          <w:tcPr>
            <w:tcW w:w="1800" w:type="dxa"/>
            <w:vAlign w:val="bottom"/>
          </w:tcPr>
          <w:p>
            <w:pPr>
              <w:jc w:val="center"/>
              <w:ind w:right="234"/>
              <w:spacing w:after="0" w:line="176" w:lineRule="exact"/>
              <w:rPr>
                <w:sz w:val="20"/>
                <w:szCs w:val="20"/>
                <w:color w:val="auto"/>
              </w:rPr>
            </w:pPr>
            <w:r>
              <w:rPr>
                <w:rFonts w:ascii="Arial" w:cs="Arial" w:eastAsia="Arial" w:hAnsi="Arial"/>
                <w:sz w:val="16"/>
                <w:szCs w:val="16"/>
                <w:b w:val="1"/>
                <w:bCs w:val="1"/>
                <w:color w:val="auto"/>
                <w:w w:val="86"/>
              </w:rPr>
              <w:t>Exercise Price of</w:t>
            </w:r>
          </w:p>
        </w:tc>
        <w:tc>
          <w:tcPr>
            <w:tcW w:w="1980" w:type="dxa"/>
            <w:vAlign w:val="bottom"/>
          </w:tcPr>
          <w:p>
            <w:pPr>
              <w:jc w:val="center"/>
              <w:ind w:left="56"/>
              <w:spacing w:after="0" w:line="176" w:lineRule="exact"/>
              <w:rPr>
                <w:sz w:val="20"/>
                <w:szCs w:val="20"/>
                <w:color w:val="auto"/>
              </w:rPr>
            </w:pPr>
            <w:r>
              <w:rPr>
                <w:rFonts w:ascii="Arial" w:cs="Arial" w:eastAsia="Arial" w:hAnsi="Arial"/>
                <w:sz w:val="16"/>
                <w:szCs w:val="16"/>
                <w:b w:val="1"/>
                <w:bCs w:val="1"/>
                <w:color w:val="auto"/>
                <w:w w:val="89"/>
              </w:rPr>
              <w:t>Remaining Available</w:t>
            </w:r>
          </w:p>
        </w:tc>
        <w:tc>
          <w:tcPr>
            <w:tcW w:w="240" w:type="dxa"/>
            <w:vAlign w:val="bottom"/>
            <w:tcBorders>
              <w:right w:val="single" w:sz="8" w:color="auto"/>
            </w:tcBorders>
          </w:tcPr>
          <w:p>
            <w:pPr>
              <w:spacing w:after="0"/>
              <w:rPr>
                <w:sz w:val="15"/>
                <w:szCs w:val="15"/>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488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6"/>
              </w:rPr>
              <w:t>Exercise of</w:t>
            </w:r>
          </w:p>
        </w:tc>
        <w:tc>
          <w:tcPr>
            <w:tcW w:w="360" w:type="dxa"/>
            <w:vAlign w:val="bottom"/>
          </w:tcPr>
          <w:p>
            <w:pPr>
              <w:spacing w:after="0"/>
              <w:rPr>
                <w:sz w:val="15"/>
                <w:szCs w:val="15"/>
                <w:color w:val="auto"/>
              </w:rPr>
            </w:pPr>
          </w:p>
        </w:tc>
        <w:tc>
          <w:tcPr>
            <w:tcW w:w="1800" w:type="dxa"/>
            <w:vAlign w:val="bottom"/>
          </w:tcPr>
          <w:p>
            <w:pPr>
              <w:jc w:val="center"/>
              <w:ind w:right="214"/>
              <w:spacing w:after="0" w:line="176" w:lineRule="exact"/>
              <w:rPr>
                <w:sz w:val="20"/>
                <w:szCs w:val="20"/>
                <w:color w:val="auto"/>
              </w:rPr>
            </w:pPr>
            <w:r>
              <w:rPr>
                <w:rFonts w:ascii="Arial" w:cs="Arial" w:eastAsia="Arial" w:hAnsi="Arial"/>
                <w:sz w:val="16"/>
                <w:szCs w:val="16"/>
                <w:b w:val="1"/>
                <w:bCs w:val="1"/>
                <w:color w:val="auto"/>
                <w:w w:val="89"/>
              </w:rPr>
              <w:t>Outstanding Options,</w:t>
            </w:r>
          </w:p>
        </w:tc>
        <w:tc>
          <w:tcPr>
            <w:tcW w:w="1980" w:type="dxa"/>
            <w:vAlign w:val="bottom"/>
          </w:tcPr>
          <w:p>
            <w:pPr>
              <w:jc w:val="center"/>
              <w:ind w:left="56"/>
              <w:spacing w:after="0" w:line="176" w:lineRule="exact"/>
              <w:rPr>
                <w:sz w:val="20"/>
                <w:szCs w:val="20"/>
                <w:color w:val="auto"/>
              </w:rPr>
            </w:pPr>
            <w:r>
              <w:rPr>
                <w:rFonts w:ascii="Arial" w:cs="Arial" w:eastAsia="Arial" w:hAnsi="Arial"/>
                <w:sz w:val="16"/>
                <w:szCs w:val="16"/>
                <w:b w:val="1"/>
                <w:bCs w:val="1"/>
                <w:color w:val="auto"/>
                <w:w w:val="88"/>
              </w:rPr>
              <w:t>For Future Issuance</w:t>
            </w:r>
          </w:p>
        </w:tc>
        <w:tc>
          <w:tcPr>
            <w:tcW w:w="240" w:type="dxa"/>
            <w:vAlign w:val="bottom"/>
            <w:tcBorders>
              <w:right w:val="single" w:sz="8" w:color="auto"/>
            </w:tcBorders>
          </w:tcPr>
          <w:p>
            <w:pPr>
              <w:spacing w:after="0"/>
              <w:rPr>
                <w:sz w:val="15"/>
                <w:szCs w:val="15"/>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488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Outstanding Options,</w:t>
            </w:r>
          </w:p>
        </w:tc>
        <w:tc>
          <w:tcPr>
            <w:tcW w:w="360" w:type="dxa"/>
            <w:vAlign w:val="bottom"/>
          </w:tcPr>
          <w:p>
            <w:pPr>
              <w:spacing w:after="0"/>
              <w:rPr>
                <w:sz w:val="15"/>
                <w:szCs w:val="15"/>
                <w:color w:val="auto"/>
              </w:rPr>
            </w:pPr>
          </w:p>
        </w:tc>
        <w:tc>
          <w:tcPr>
            <w:tcW w:w="1800" w:type="dxa"/>
            <w:vAlign w:val="bottom"/>
          </w:tcPr>
          <w:p>
            <w:pPr>
              <w:jc w:val="center"/>
              <w:ind w:right="214"/>
              <w:spacing w:after="0" w:line="176" w:lineRule="exact"/>
              <w:rPr>
                <w:sz w:val="20"/>
                <w:szCs w:val="20"/>
                <w:color w:val="auto"/>
              </w:rPr>
            </w:pPr>
            <w:r>
              <w:rPr>
                <w:rFonts w:ascii="Arial" w:cs="Arial" w:eastAsia="Arial" w:hAnsi="Arial"/>
                <w:sz w:val="16"/>
                <w:szCs w:val="16"/>
                <w:b w:val="1"/>
                <w:bCs w:val="1"/>
                <w:color w:val="auto"/>
                <w:w w:val="90"/>
              </w:rPr>
              <w:t>Warrants and Rights</w:t>
            </w:r>
          </w:p>
        </w:tc>
        <w:tc>
          <w:tcPr>
            <w:tcW w:w="1980" w:type="dxa"/>
            <w:vAlign w:val="bottom"/>
          </w:tcPr>
          <w:p>
            <w:pPr>
              <w:jc w:val="center"/>
              <w:ind w:left="56"/>
              <w:spacing w:after="0" w:line="176" w:lineRule="exact"/>
              <w:rPr>
                <w:sz w:val="20"/>
                <w:szCs w:val="20"/>
                <w:color w:val="auto"/>
              </w:rPr>
            </w:pPr>
            <w:r>
              <w:rPr>
                <w:rFonts w:ascii="Arial" w:cs="Arial" w:eastAsia="Arial" w:hAnsi="Arial"/>
                <w:sz w:val="16"/>
                <w:szCs w:val="16"/>
                <w:b w:val="1"/>
                <w:bCs w:val="1"/>
                <w:color w:val="auto"/>
                <w:w w:val="92"/>
              </w:rPr>
              <w:t>Under Equity</w:t>
            </w:r>
          </w:p>
        </w:tc>
        <w:tc>
          <w:tcPr>
            <w:tcW w:w="240" w:type="dxa"/>
            <w:vAlign w:val="bottom"/>
            <w:tcBorders>
              <w:right w:val="single" w:sz="8" w:color="auto"/>
            </w:tcBorders>
          </w:tcPr>
          <w:p>
            <w:pPr>
              <w:spacing w:after="0"/>
              <w:rPr>
                <w:sz w:val="15"/>
                <w:szCs w:val="15"/>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488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0"/>
              </w:rPr>
              <w:t>Warrants and Rights</w:t>
            </w: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80" w:type="dxa"/>
            <w:vAlign w:val="bottom"/>
          </w:tcPr>
          <w:p>
            <w:pPr>
              <w:jc w:val="center"/>
              <w:ind w:left="36"/>
              <w:spacing w:after="0" w:line="176" w:lineRule="exact"/>
              <w:rPr>
                <w:sz w:val="20"/>
                <w:szCs w:val="20"/>
                <w:color w:val="auto"/>
              </w:rPr>
            </w:pPr>
            <w:r>
              <w:rPr>
                <w:rFonts w:ascii="Arial" w:cs="Arial" w:eastAsia="Arial" w:hAnsi="Arial"/>
                <w:sz w:val="16"/>
                <w:szCs w:val="16"/>
                <w:b w:val="1"/>
                <w:bCs w:val="1"/>
                <w:color w:val="auto"/>
                <w:w w:val="87"/>
              </w:rPr>
              <w:t>Compensation Plans</w:t>
            </w:r>
          </w:p>
        </w:tc>
        <w:tc>
          <w:tcPr>
            <w:tcW w:w="240" w:type="dxa"/>
            <w:vAlign w:val="bottom"/>
            <w:tcBorders>
              <w:right w:val="single" w:sz="8" w:color="auto"/>
            </w:tcBorders>
          </w:tcPr>
          <w:p>
            <w:pPr>
              <w:spacing w:after="0"/>
              <w:rPr>
                <w:sz w:val="15"/>
                <w:szCs w:val="15"/>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4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80" w:type="dxa"/>
            <w:vAlign w:val="bottom"/>
          </w:tcPr>
          <w:p>
            <w:pPr>
              <w:jc w:val="center"/>
              <w:ind w:left="56"/>
              <w:spacing w:after="0" w:line="176" w:lineRule="exact"/>
              <w:rPr>
                <w:sz w:val="20"/>
                <w:szCs w:val="20"/>
                <w:color w:val="auto"/>
              </w:rPr>
            </w:pPr>
            <w:r>
              <w:rPr>
                <w:rFonts w:ascii="Arial" w:cs="Arial" w:eastAsia="Arial" w:hAnsi="Arial"/>
                <w:sz w:val="16"/>
                <w:szCs w:val="16"/>
                <w:b w:val="1"/>
                <w:bCs w:val="1"/>
                <w:color w:val="auto"/>
                <w:w w:val="88"/>
              </w:rPr>
              <w:t>(Excluding Securities</w:t>
            </w:r>
          </w:p>
        </w:tc>
        <w:tc>
          <w:tcPr>
            <w:tcW w:w="240" w:type="dxa"/>
            <w:vAlign w:val="bottom"/>
            <w:tcBorders>
              <w:right w:val="single" w:sz="8" w:color="auto"/>
            </w:tcBorders>
          </w:tcPr>
          <w:p>
            <w:pPr>
              <w:spacing w:after="0"/>
              <w:rPr>
                <w:sz w:val="15"/>
                <w:szCs w:val="15"/>
                <w:color w:val="auto"/>
              </w:rPr>
            </w:pPr>
          </w:p>
        </w:tc>
      </w:tr>
      <w:tr>
        <w:trPr>
          <w:trHeight w:val="176"/>
        </w:trPr>
        <w:tc>
          <w:tcPr>
            <w:tcW w:w="140" w:type="dxa"/>
            <w:vAlign w:val="bottom"/>
            <w:tcBorders>
              <w:left w:val="single" w:sz="8" w:color="auto"/>
            </w:tcBorders>
          </w:tcPr>
          <w:p>
            <w:pPr>
              <w:spacing w:after="0"/>
              <w:rPr>
                <w:sz w:val="15"/>
                <w:szCs w:val="15"/>
                <w:color w:val="auto"/>
              </w:rPr>
            </w:pPr>
          </w:p>
        </w:tc>
        <w:tc>
          <w:tcPr>
            <w:tcW w:w="48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80" w:type="dxa"/>
            <w:vAlign w:val="bottom"/>
          </w:tcPr>
          <w:p>
            <w:pPr>
              <w:jc w:val="center"/>
              <w:ind w:left="56"/>
              <w:spacing w:after="0" w:line="176" w:lineRule="exact"/>
              <w:rPr>
                <w:sz w:val="20"/>
                <w:szCs w:val="20"/>
                <w:color w:val="auto"/>
              </w:rPr>
            </w:pPr>
            <w:r>
              <w:rPr>
                <w:rFonts w:ascii="Arial" w:cs="Arial" w:eastAsia="Arial" w:hAnsi="Arial"/>
                <w:sz w:val="16"/>
                <w:szCs w:val="16"/>
                <w:b w:val="1"/>
                <w:bCs w:val="1"/>
                <w:color w:val="auto"/>
                <w:w w:val="88"/>
              </w:rPr>
              <w:t>Reflected in</w:t>
            </w:r>
          </w:p>
        </w:tc>
        <w:tc>
          <w:tcPr>
            <w:tcW w:w="240" w:type="dxa"/>
            <w:vAlign w:val="bottom"/>
            <w:tcBorders>
              <w:right w:val="single" w:sz="8" w:color="auto"/>
            </w:tcBorders>
          </w:tcPr>
          <w:p>
            <w:pPr>
              <w:spacing w:after="0"/>
              <w:rPr>
                <w:sz w:val="15"/>
                <w:szCs w:val="15"/>
                <w:color w:val="auto"/>
              </w:rPr>
            </w:pPr>
          </w:p>
        </w:tc>
      </w:tr>
      <w:tr>
        <w:trPr>
          <w:trHeight w:val="205"/>
        </w:trPr>
        <w:tc>
          <w:tcPr>
            <w:tcW w:w="140" w:type="dxa"/>
            <w:vAlign w:val="bottom"/>
            <w:tcBorders>
              <w:left w:val="single" w:sz="8" w:color="auto"/>
            </w:tcBorders>
          </w:tcPr>
          <w:p>
            <w:pPr>
              <w:spacing w:after="0"/>
              <w:rPr>
                <w:sz w:val="17"/>
                <w:szCs w:val="17"/>
                <w:color w:val="auto"/>
              </w:rPr>
            </w:pPr>
          </w:p>
        </w:tc>
        <w:tc>
          <w:tcPr>
            <w:tcW w:w="4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80" w:type="dxa"/>
            <w:vAlign w:val="bottom"/>
          </w:tcPr>
          <w:p>
            <w:pPr>
              <w:jc w:val="center"/>
              <w:ind w:left="36"/>
              <w:spacing w:after="0"/>
              <w:rPr>
                <w:sz w:val="20"/>
                <w:szCs w:val="20"/>
                <w:color w:val="auto"/>
              </w:rPr>
            </w:pPr>
            <w:r>
              <w:rPr>
                <w:rFonts w:ascii="Arial" w:cs="Arial" w:eastAsia="Arial" w:hAnsi="Arial"/>
                <w:sz w:val="16"/>
                <w:szCs w:val="16"/>
                <w:b w:val="1"/>
                <w:bCs w:val="1"/>
                <w:color w:val="auto"/>
                <w:w w:val="92"/>
              </w:rPr>
              <w:t>Column(a))</w:t>
            </w:r>
          </w:p>
        </w:tc>
        <w:tc>
          <w:tcPr>
            <w:tcW w:w="240" w:type="dxa"/>
            <w:vAlign w:val="bottom"/>
            <w:tcBorders>
              <w:right w:val="single" w:sz="8" w:color="auto"/>
            </w:tcBorders>
          </w:tcPr>
          <w:p>
            <w:pPr>
              <w:spacing w:after="0"/>
              <w:rPr>
                <w:sz w:val="17"/>
                <w:szCs w:val="17"/>
                <w:color w:val="auto"/>
              </w:rPr>
            </w:pPr>
          </w:p>
        </w:tc>
      </w:tr>
      <w:tr>
        <w:trPr>
          <w:trHeight w:val="49"/>
        </w:trPr>
        <w:tc>
          <w:tcPr>
            <w:tcW w:w="140" w:type="dxa"/>
            <w:vAlign w:val="bottom"/>
            <w:tcBorders>
              <w:left w:val="single" w:sz="8" w:color="auto"/>
            </w:tcBorders>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r>
      <w:tr>
        <w:trPr>
          <w:trHeight w:val="264"/>
        </w:trPr>
        <w:tc>
          <w:tcPr>
            <w:tcW w:w="140" w:type="dxa"/>
            <w:vAlign w:val="bottom"/>
            <w:tcBorders>
              <w:left w:val="single" w:sz="8" w:color="auto"/>
            </w:tcBorders>
          </w:tcPr>
          <w:p>
            <w:pPr>
              <w:spacing w:after="0"/>
              <w:rPr>
                <w:sz w:val="22"/>
                <w:szCs w:val="22"/>
                <w:color w:val="auto"/>
              </w:rPr>
            </w:pPr>
          </w:p>
        </w:tc>
        <w:tc>
          <w:tcPr>
            <w:tcW w:w="4880" w:type="dxa"/>
            <w:vAlign w:val="bottom"/>
            <w:shd w:val="clear" w:color="auto" w:fill="E5FFFF"/>
          </w:tcPr>
          <w:p>
            <w:pPr>
              <w:ind w:left="20"/>
              <w:spacing w:after="0"/>
              <w:rPr>
                <w:sz w:val="20"/>
                <w:szCs w:val="20"/>
                <w:color w:val="auto"/>
              </w:rPr>
            </w:pPr>
            <w:r>
              <w:rPr>
                <w:rFonts w:ascii="Arial" w:cs="Arial" w:eastAsia="Arial" w:hAnsi="Arial"/>
                <w:sz w:val="19"/>
                <w:szCs w:val="19"/>
                <w:color w:val="auto"/>
                <w:w w:val="98"/>
              </w:rPr>
              <w:t>Equity Compensation Plans Approved by Security Holders</w:t>
            </w:r>
          </w:p>
        </w:tc>
        <w:tc>
          <w:tcPr>
            <w:tcW w:w="2020" w:type="dxa"/>
            <w:vAlign w:val="bottom"/>
            <w:shd w:val="clear" w:color="auto" w:fill="E5FFFF"/>
          </w:tcPr>
          <w:p>
            <w:pPr>
              <w:jc w:val="right"/>
              <w:ind w:right="175"/>
              <w:spacing w:after="0"/>
              <w:rPr>
                <w:sz w:val="20"/>
                <w:szCs w:val="20"/>
                <w:color w:val="auto"/>
              </w:rPr>
            </w:pPr>
            <w:r>
              <w:rPr>
                <w:rFonts w:ascii="Arial" w:cs="Arial" w:eastAsia="Arial" w:hAnsi="Arial"/>
                <w:sz w:val="19"/>
                <w:szCs w:val="19"/>
                <w:color w:val="auto"/>
              </w:rPr>
              <w:t>5,977,311</w:t>
            </w:r>
          </w:p>
        </w:tc>
        <w:tc>
          <w:tcPr>
            <w:tcW w:w="3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800" w:type="dxa"/>
            <w:vAlign w:val="bottom"/>
            <w:shd w:val="clear" w:color="auto" w:fill="E5FFFF"/>
          </w:tcPr>
          <w:p>
            <w:pPr>
              <w:jc w:val="right"/>
              <w:ind w:right="234"/>
              <w:spacing w:after="0"/>
              <w:rPr>
                <w:sz w:val="20"/>
                <w:szCs w:val="20"/>
                <w:color w:val="auto"/>
              </w:rPr>
            </w:pPr>
            <w:r>
              <w:rPr>
                <w:rFonts w:ascii="Arial" w:cs="Arial" w:eastAsia="Arial" w:hAnsi="Arial"/>
                <w:sz w:val="19"/>
                <w:szCs w:val="19"/>
                <w:color w:val="auto"/>
              </w:rPr>
              <w:t>19.5738</w:t>
            </w:r>
          </w:p>
        </w:tc>
        <w:tc>
          <w:tcPr>
            <w:tcW w:w="1980" w:type="dxa"/>
            <w:vAlign w:val="bottom"/>
            <w:shd w:val="clear" w:color="auto" w:fill="E5FFFF"/>
          </w:tcPr>
          <w:p>
            <w:pPr>
              <w:jc w:val="right"/>
              <w:ind w:right="136"/>
              <w:spacing w:after="0"/>
              <w:rPr>
                <w:sz w:val="20"/>
                <w:szCs w:val="20"/>
                <w:color w:val="auto"/>
              </w:rPr>
            </w:pPr>
            <w:r>
              <w:rPr>
                <w:rFonts w:ascii="Arial" w:cs="Arial" w:eastAsia="Arial" w:hAnsi="Arial"/>
                <w:sz w:val="19"/>
                <w:szCs w:val="19"/>
                <w:color w:val="auto"/>
              </w:rPr>
              <w:t>8,362,542 (1)(2)</w:t>
            </w:r>
          </w:p>
        </w:tc>
        <w:tc>
          <w:tcPr>
            <w:tcW w:w="240" w:type="dxa"/>
            <w:vAlign w:val="bottom"/>
            <w:tcBorders>
              <w:right w:val="single" w:sz="8" w:color="auto"/>
            </w:tcBorders>
          </w:tcPr>
          <w:p>
            <w:pPr>
              <w:spacing w:after="0"/>
              <w:rPr>
                <w:sz w:val="22"/>
                <w:szCs w:val="22"/>
                <w:color w:val="auto"/>
              </w:rPr>
            </w:pPr>
          </w:p>
        </w:tc>
      </w:tr>
      <w:tr>
        <w:trPr>
          <w:trHeight w:val="230"/>
        </w:trPr>
        <w:tc>
          <w:tcPr>
            <w:tcW w:w="140" w:type="dxa"/>
            <w:vAlign w:val="bottom"/>
            <w:tcBorders>
              <w:left w:val="single" w:sz="8" w:color="auto"/>
            </w:tcBorders>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9"/>
                <w:szCs w:val="19"/>
                <w:color w:val="auto"/>
              </w:rPr>
              <w:t>Equity Compensation Plans Not Approved by Security</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r>
      <w:tr>
        <w:trPr>
          <w:trHeight w:val="252"/>
        </w:trPr>
        <w:tc>
          <w:tcPr>
            <w:tcW w:w="140" w:type="dxa"/>
            <w:vAlign w:val="bottom"/>
            <w:tcBorders>
              <w:left w:val="single" w:sz="8" w:color="auto"/>
            </w:tcBorders>
          </w:tcPr>
          <w:p>
            <w:pPr>
              <w:spacing w:after="0"/>
              <w:rPr>
                <w:sz w:val="21"/>
                <w:szCs w:val="21"/>
                <w:color w:val="auto"/>
              </w:rPr>
            </w:pPr>
          </w:p>
        </w:tc>
        <w:tc>
          <w:tcPr>
            <w:tcW w:w="4880" w:type="dxa"/>
            <w:vAlign w:val="bottom"/>
          </w:tcPr>
          <w:p>
            <w:pPr>
              <w:ind w:left="200"/>
              <w:spacing w:after="0"/>
              <w:rPr>
                <w:sz w:val="20"/>
                <w:szCs w:val="20"/>
                <w:color w:val="auto"/>
              </w:rPr>
            </w:pPr>
            <w:r>
              <w:rPr>
                <w:rFonts w:ascii="Arial" w:cs="Arial" w:eastAsia="Arial" w:hAnsi="Arial"/>
                <w:sz w:val="19"/>
                <w:szCs w:val="19"/>
                <w:color w:val="auto"/>
              </w:rPr>
              <w:t>Holders</w:t>
            </w:r>
          </w:p>
        </w:tc>
        <w:tc>
          <w:tcPr>
            <w:tcW w:w="2020" w:type="dxa"/>
            <w:vAlign w:val="bottom"/>
          </w:tcPr>
          <w:p>
            <w:pPr>
              <w:jc w:val="right"/>
              <w:ind w:right="175"/>
              <w:spacing w:after="0"/>
              <w:rPr>
                <w:sz w:val="20"/>
                <w:szCs w:val="20"/>
                <w:color w:val="auto"/>
              </w:rPr>
            </w:pPr>
            <w:r>
              <w:rPr>
                <w:rFonts w:ascii="Arial" w:cs="Arial" w:eastAsia="Arial" w:hAnsi="Arial"/>
                <w:sz w:val="19"/>
                <w:szCs w:val="19"/>
                <w:color w:val="auto"/>
              </w:rPr>
              <w:t>0</w:t>
            </w:r>
          </w:p>
        </w:tc>
        <w:tc>
          <w:tcPr>
            <w:tcW w:w="360" w:type="dxa"/>
            <w:vAlign w:val="bottom"/>
          </w:tcPr>
          <w:p>
            <w:pPr>
              <w:spacing w:after="0"/>
              <w:rPr>
                <w:sz w:val="21"/>
                <w:szCs w:val="21"/>
                <w:color w:val="auto"/>
              </w:rPr>
            </w:pPr>
          </w:p>
        </w:tc>
        <w:tc>
          <w:tcPr>
            <w:tcW w:w="1800" w:type="dxa"/>
            <w:vAlign w:val="bottom"/>
          </w:tcPr>
          <w:p>
            <w:pPr>
              <w:jc w:val="right"/>
              <w:ind w:right="234"/>
              <w:spacing w:after="0"/>
              <w:rPr>
                <w:sz w:val="20"/>
                <w:szCs w:val="20"/>
                <w:color w:val="auto"/>
              </w:rPr>
            </w:pPr>
            <w:r>
              <w:rPr>
                <w:rFonts w:ascii="Arial" w:cs="Arial" w:eastAsia="Arial" w:hAnsi="Arial"/>
                <w:sz w:val="19"/>
                <w:szCs w:val="19"/>
                <w:color w:val="auto"/>
              </w:rPr>
              <w:t>0</w:t>
            </w:r>
          </w:p>
        </w:tc>
        <w:tc>
          <w:tcPr>
            <w:tcW w:w="1980" w:type="dxa"/>
            <w:vAlign w:val="bottom"/>
          </w:tcPr>
          <w:p>
            <w:pPr>
              <w:jc w:val="right"/>
              <w:ind w:right="616"/>
              <w:spacing w:after="0"/>
              <w:rPr>
                <w:sz w:val="20"/>
                <w:szCs w:val="20"/>
                <w:color w:val="auto"/>
              </w:rPr>
            </w:pPr>
            <w:r>
              <w:rPr>
                <w:rFonts w:ascii="Arial" w:cs="Arial" w:eastAsia="Arial" w:hAnsi="Arial"/>
                <w:sz w:val="19"/>
                <w:szCs w:val="19"/>
                <w:color w:val="auto"/>
              </w:rPr>
              <w:t>0</w:t>
            </w:r>
          </w:p>
        </w:tc>
        <w:tc>
          <w:tcPr>
            <w:tcW w:w="240" w:type="dxa"/>
            <w:vAlign w:val="bottom"/>
            <w:tcBorders>
              <w:right w:val="single" w:sz="8" w:color="auto"/>
            </w:tcBorders>
          </w:tcPr>
          <w:p>
            <w:pPr>
              <w:spacing w:after="0"/>
              <w:rPr>
                <w:sz w:val="21"/>
                <w:szCs w:val="21"/>
                <w:color w:val="auto"/>
              </w:rPr>
            </w:pPr>
          </w:p>
        </w:tc>
      </w:tr>
      <w:tr>
        <w:trPr>
          <w:trHeight w:val="275"/>
        </w:trPr>
        <w:tc>
          <w:tcPr>
            <w:tcW w:w="140" w:type="dxa"/>
            <w:vAlign w:val="bottom"/>
            <w:tcBorders>
              <w:left w:val="single" w:sz="8" w:color="auto"/>
            </w:tcBorders>
          </w:tcPr>
          <w:p>
            <w:pPr>
              <w:spacing w:after="0"/>
              <w:rPr>
                <w:sz w:val="23"/>
                <w:szCs w:val="23"/>
                <w:color w:val="auto"/>
              </w:rPr>
            </w:pPr>
          </w:p>
        </w:tc>
        <w:tc>
          <w:tcPr>
            <w:tcW w:w="488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2020" w:type="dxa"/>
            <w:vAlign w:val="bottom"/>
            <w:shd w:val="clear" w:color="auto" w:fill="E5FFFF"/>
          </w:tcPr>
          <w:p>
            <w:pPr>
              <w:jc w:val="right"/>
              <w:ind w:right="175"/>
              <w:spacing w:after="0"/>
              <w:rPr>
                <w:sz w:val="20"/>
                <w:szCs w:val="20"/>
                <w:color w:val="auto"/>
              </w:rPr>
            </w:pPr>
            <w:r>
              <w:rPr>
                <w:rFonts w:ascii="Arial" w:cs="Arial" w:eastAsia="Arial" w:hAnsi="Arial"/>
                <w:sz w:val="19"/>
                <w:szCs w:val="19"/>
                <w:color w:val="auto"/>
              </w:rPr>
              <w:t>5,977,311</w:t>
            </w:r>
          </w:p>
        </w:tc>
        <w:tc>
          <w:tcPr>
            <w:tcW w:w="3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800" w:type="dxa"/>
            <w:vAlign w:val="bottom"/>
            <w:shd w:val="clear" w:color="auto" w:fill="E5FFFF"/>
          </w:tcPr>
          <w:p>
            <w:pPr>
              <w:jc w:val="right"/>
              <w:ind w:right="234"/>
              <w:spacing w:after="0"/>
              <w:rPr>
                <w:sz w:val="20"/>
                <w:szCs w:val="20"/>
                <w:color w:val="auto"/>
              </w:rPr>
            </w:pPr>
            <w:r>
              <w:rPr>
                <w:rFonts w:ascii="Arial" w:cs="Arial" w:eastAsia="Arial" w:hAnsi="Arial"/>
                <w:sz w:val="19"/>
                <w:szCs w:val="19"/>
                <w:color w:val="auto"/>
              </w:rPr>
              <w:t>19.5738</w:t>
            </w:r>
          </w:p>
        </w:tc>
        <w:tc>
          <w:tcPr>
            <w:tcW w:w="1980" w:type="dxa"/>
            <w:vAlign w:val="bottom"/>
            <w:shd w:val="clear" w:color="auto" w:fill="E5FFFF"/>
          </w:tcPr>
          <w:p>
            <w:pPr>
              <w:jc w:val="right"/>
              <w:ind w:right="616"/>
              <w:spacing w:after="0"/>
              <w:rPr>
                <w:sz w:val="20"/>
                <w:szCs w:val="20"/>
                <w:color w:val="auto"/>
              </w:rPr>
            </w:pPr>
            <w:r>
              <w:rPr>
                <w:rFonts w:ascii="Arial" w:cs="Arial" w:eastAsia="Arial" w:hAnsi="Arial"/>
                <w:sz w:val="19"/>
                <w:szCs w:val="19"/>
                <w:color w:val="auto"/>
              </w:rPr>
              <w:t>8,362,642</w:t>
            </w:r>
          </w:p>
        </w:tc>
        <w:tc>
          <w:tcPr>
            <w:tcW w:w="240" w:type="dxa"/>
            <w:vAlign w:val="bottom"/>
            <w:tcBorders>
              <w:right w:val="single" w:sz="8" w:color="auto"/>
            </w:tcBorders>
          </w:tcPr>
          <w:p>
            <w:pPr>
              <w:spacing w:after="0"/>
              <w:rPr>
                <w:sz w:val="23"/>
                <w:szCs w:val="23"/>
                <w:color w:val="auto"/>
              </w:rPr>
            </w:pPr>
          </w:p>
        </w:tc>
      </w:tr>
      <w:tr>
        <w:trPr>
          <w:trHeight w:val="213"/>
        </w:trPr>
        <w:tc>
          <w:tcPr>
            <w:tcW w:w="140" w:type="dxa"/>
            <w:vAlign w:val="bottom"/>
            <w:tcBorders>
              <w:left w:val="single" w:sz="8" w:color="auto"/>
              <w:bottom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Equity Compensation Plan Table</w:t>
      </w:r>
    </w:p>
    <w:p>
      <w:pPr>
        <w:spacing w:after="0" w:line="173" w:lineRule="exact"/>
        <w:rPr>
          <w:sz w:val="20"/>
          <w:szCs w:val="20"/>
          <w:color w:val="auto"/>
        </w:rPr>
      </w:pPr>
    </w:p>
    <w:p>
      <w:pPr>
        <w:ind w:left="420" w:right="380" w:hanging="314"/>
        <w:spacing w:after="0" w:line="283" w:lineRule="auto"/>
        <w:tabs>
          <w:tab w:leader="none" w:pos="4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Includes 2,559,075 shares available for future issuance under the 2003 Employees Stock Purchase Plan (the “2003 Purchase Plan”) other than upon the exercise of an option, warrant or right.</w:t>
      </w:r>
    </w:p>
    <w:p>
      <w:pPr>
        <w:spacing w:after="0" w:line="51" w:lineRule="exact"/>
        <w:rPr>
          <w:rFonts w:ascii="Arial" w:cs="Arial" w:eastAsia="Arial" w:hAnsi="Arial"/>
          <w:sz w:val="19"/>
          <w:szCs w:val="19"/>
          <w:color w:val="auto"/>
        </w:rPr>
      </w:pPr>
    </w:p>
    <w:p>
      <w:pPr>
        <w:ind w:left="420" w:right="100"/>
        <w:spacing w:after="0" w:line="283" w:lineRule="auto"/>
        <w:rPr>
          <w:rFonts w:ascii="Arial" w:cs="Arial" w:eastAsia="Arial" w:hAnsi="Arial"/>
          <w:sz w:val="19"/>
          <w:szCs w:val="19"/>
          <w:color w:val="auto"/>
        </w:rPr>
      </w:pPr>
      <w:r>
        <w:rPr>
          <w:rFonts w:ascii="Arial" w:cs="Arial" w:eastAsia="Arial" w:hAnsi="Arial"/>
          <w:sz w:val="19"/>
          <w:szCs w:val="19"/>
          <w:color w:val="auto"/>
        </w:rPr>
        <w:t>Participating employees under the 2003 Purchase Plan may contribute up to 10 percent of their annual compensation to acquire shares of the Company’s Common Stock at 85 percent of the lower market price on one of two specified dates in each plan year.</w:t>
      </w:r>
    </w:p>
    <w:p>
      <w:pPr>
        <w:spacing w:after="0" w:line="65" w:lineRule="exact"/>
        <w:rPr>
          <w:rFonts w:ascii="Arial" w:cs="Arial" w:eastAsia="Arial" w:hAnsi="Arial"/>
          <w:sz w:val="19"/>
          <w:szCs w:val="19"/>
          <w:color w:val="auto"/>
        </w:rPr>
      </w:pPr>
    </w:p>
    <w:p>
      <w:pPr>
        <w:ind w:left="420" w:right="60" w:hanging="314"/>
        <w:spacing w:after="0" w:line="259" w:lineRule="auto"/>
        <w:tabs>
          <w:tab w:leader="none" w:pos="4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2007 Stock Incentive Plan (the “2007 Plan”) currently is the only plan under which stock awards may be granted to directors, officers and other employees of Foot Locker. The 2007 Plan limits the number of shares that may be awarded to participants in the form of restricted stock or Other Stock-Based Awards to 1.5 million shares out of the total number of shares authorized. As of the end of the 2007 fiscal year, a total of 1,445,000 shares remained available for issuance as restricted stock and Other Stock-Based Awards, and these shares are included in the total number of shares disclosed in column (c).</w:t>
      </w:r>
    </w:p>
    <w:p>
      <w:pPr>
        <w:spacing w:after="0" w:line="77" w:lineRule="exact"/>
        <w:rPr>
          <w:rFonts w:ascii="Arial" w:cs="Arial" w:eastAsia="Arial" w:hAnsi="Arial"/>
          <w:sz w:val="19"/>
          <w:szCs w:val="19"/>
          <w:color w:val="auto"/>
        </w:rPr>
      </w:pPr>
    </w:p>
    <w:p>
      <w:pPr>
        <w:ind w:left="420" w:right="40"/>
        <w:spacing w:after="0" w:line="283" w:lineRule="auto"/>
        <w:rPr>
          <w:rFonts w:ascii="Arial" w:cs="Arial" w:eastAsia="Arial" w:hAnsi="Arial"/>
          <w:sz w:val="19"/>
          <w:szCs w:val="19"/>
          <w:color w:val="auto"/>
        </w:rPr>
      </w:pPr>
      <w:r>
        <w:rPr>
          <w:rFonts w:ascii="Arial" w:cs="Arial" w:eastAsia="Arial" w:hAnsi="Arial"/>
          <w:sz w:val="19"/>
          <w:szCs w:val="19"/>
          <w:color w:val="auto"/>
        </w:rPr>
        <w:t>Payouts under the Long-Term Incentive Compensation Plan may be made in cash or shares of Common Stock. If shares are used, they would be issued as Other Stock-Based Awards under the 2007 Stock Incentive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9"/>
          <w:szCs w:val="19"/>
          <w:b w:val="1"/>
          <w:bCs w:val="1"/>
          <w:color w:val="auto"/>
        </w:rPr>
        <w:t>ITEMS TO BE VOTED ON BY SHAREHOLDERS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PROPOSAL 1:</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ELECTION OF DIRECTORS</w:t>
      </w:r>
    </w:p>
    <w:p>
      <w:pPr>
        <w:spacing w:after="0" w:line="103" w:lineRule="exact"/>
        <w:rPr>
          <w:sz w:val="20"/>
          <w:szCs w:val="20"/>
          <w:color w:val="auto"/>
        </w:rPr>
      </w:pPr>
    </w:p>
    <w:p>
      <w:pPr>
        <w:ind w:right="180" w:firstLine="357"/>
        <w:spacing w:after="0" w:line="313" w:lineRule="auto"/>
        <w:rPr>
          <w:sz w:val="20"/>
          <w:szCs w:val="20"/>
          <w:color w:val="auto"/>
        </w:rPr>
      </w:pPr>
      <w:r>
        <w:rPr>
          <w:rFonts w:ascii="Arial" w:cs="Arial" w:eastAsia="Arial" w:hAnsi="Arial"/>
          <w:sz w:val="17"/>
          <w:szCs w:val="17"/>
          <w:color w:val="auto"/>
        </w:rPr>
        <w:t>Our Certificate of Incorporation provides that the Board of Directors be divided into three classes serving staggered three-year terms. The terms of the three directors constituting Class II expire at the 2008 annual meeting. Christopher A. Sinclair, who is a director in Class II, advised the Company that he would not be standing for election at this meeting, so that his tenure as a director will end at the 2008 annual meeting.</w:t>
      </w:r>
    </w:p>
    <w:p>
      <w:pPr>
        <w:spacing w:after="0" w:line="32" w:lineRule="exact"/>
        <w:rPr>
          <w:sz w:val="20"/>
          <w:szCs w:val="20"/>
          <w:color w:val="auto"/>
        </w:rPr>
      </w:pPr>
    </w:p>
    <w:p>
      <w:pPr>
        <w:ind w:right="20" w:firstLine="357"/>
        <w:spacing w:after="0" w:line="275" w:lineRule="auto"/>
        <w:rPr>
          <w:sz w:val="20"/>
          <w:szCs w:val="20"/>
          <w:color w:val="auto"/>
        </w:rPr>
      </w:pPr>
      <w:r>
        <w:rPr>
          <w:rFonts w:ascii="Arial" w:cs="Arial" w:eastAsia="Arial" w:hAnsi="Arial"/>
          <w:sz w:val="18"/>
          <w:szCs w:val="18"/>
          <w:color w:val="auto"/>
        </w:rPr>
        <w:t>Nicholas DiPaolo and Matthew M. McKenna will be considered for election as directors in Class II, to serve for three-year terms expiring at the annual meeting in 2011. Both of the nominees have been nominated by the Board of Directors for election and have consented to serve. Mr. DiPaolo was elected to his present term at the 2005 annual meeting, and Mr. McKenna was elected to his present term at the 2006 annual meeting. The seven remaining directors will continue in office until the expiration of their terms at the 2009 or 2010 annual meeting. If, prior to the annual meeting, any nominee is not able to serve, then the persons designated as proxies for this meeting (Gary M. Bahler, Robert W. McHugh and Matthew D. Serra) will have full discretion to vote for another person to serve as a director in place of that nominee.</w:t>
      </w:r>
    </w:p>
    <w:p>
      <w:pPr>
        <w:spacing w:after="0" w:line="63" w:lineRule="exact"/>
        <w:rPr>
          <w:sz w:val="20"/>
          <w:szCs w:val="20"/>
          <w:color w:val="auto"/>
        </w:rPr>
      </w:pPr>
    </w:p>
    <w:p>
      <w:pPr>
        <w:ind w:right="80" w:firstLine="357"/>
        <w:spacing w:after="0" w:line="257" w:lineRule="auto"/>
        <w:rPr>
          <w:sz w:val="20"/>
          <w:szCs w:val="20"/>
          <w:color w:val="auto"/>
        </w:rPr>
      </w:pPr>
      <w:r>
        <w:rPr>
          <w:rFonts w:ascii="Arial" w:cs="Arial" w:eastAsia="Arial" w:hAnsi="Arial"/>
          <w:sz w:val="19"/>
          <w:szCs w:val="19"/>
          <w:color w:val="auto"/>
        </w:rPr>
        <w:t>Under the retirement policy for directors, which is described on Page 9, Mr. Preston would be required to retire from the Board following the 2008 Annual Meeting because he will have reached age 75. Last year, the Nominating and Corporate Governance Committee asked that Mr. Preston stand for election at the 2007 Annual Meeting, and he was elected to a three-year term ending in 2010. Mr. Preston currently serves as the lead director. This year, on the recommendation of the Nominating and Corporate Governance Committee, the Board has waived the retirement policy for Mr. Preston so that he may continue to serve on the Board and as lead director. The Board will review this waiver for Mr. Preston prior to the 2009 annual meeting of shareholders. Mr. Preston did not participate in the deliberations or decisions of either the Board or the committee on this matter.</w:t>
      </w:r>
    </w:p>
    <w:p>
      <w:pPr>
        <w:spacing w:after="0" w:line="77" w:lineRule="exact"/>
        <w:rPr>
          <w:sz w:val="20"/>
          <w:szCs w:val="20"/>
          <w:color w:val="auto"/>
        </w:rPr>
      </w:pPr>
    </w:p>
    <w:p>
      <w:pPr>
        <w:ind w:right="200" w:firstLine="357"/>
        <w:spacing w:after="0" w:line="267" w:lineRule="auto"/>
        <w:rPr>
          <w:sz w:val="20"/>
          <w:szCs w:val="20"/>
          <w:color w:val="auto"/>
        </w:rPr>
      </w:pPr>
      <w:r>
        <w:rPr>
          <w:rFonts w:ascii="Arial" w:cs="Arial" w:eastAsia="Arial" w:hAnsi="Arial"/>
          <w:sz w:val="19"/>
          <w:szCs w:val="19"/>
          <w:color w:val="auto"/>
        </w:rPr>
        <w:t>Biographical information follows for the two nominees and for each of the seven other directors of the Company whose terms will continue after the 2008 annual meeting. The ages shown are as of April 11, 2008. There are no family relationships among the directors or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250430" cy="673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673100"/>
                    </a:xfrm>
                    <a:prstGeom prst="rect">
                      <a:avLst/>
                    </a:prstGeom>
                    <a:noFill/>
                  </pic:spPr>
                </pic:pic>
              </a:graphicData>
            </a:graphic>
          </wp:anchor>
        </w:drawing>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The Board of Directors recommends that shareholders vote FOR the election of the two identified</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nominees to the Board of Directors.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Nominees for Director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2011</w:t>
      </w:r>
    </w:p>
    <w:p>
      <w:pPr>
        <w:spacing w:after="0" w:line="97" w:lineRule="exact"/>
        <w:rPr>
          <w:sz w:val="20"/>
          <w:szCs w:val="20"/>
          <w:color w:val="auto"/>
        </w:rPr>
      </w:pPr>
    </w:p>
    <w:p>
      <w:pPr>
        <w:jc w:val="both"/>
        <w:ind w:firstLine="357"/>
        <w:spacing w:after="0" w:line="271" w:lineRule="auto"/>
        <w:rPr>
          <w:sz w:val="20"/>
          <w:szCs w:val="20"/>
          <w:color w:val="auto"/>
        </w:rPr>
      </w:pPr>
      <w:r>
        <w:rPr>
          <w:rFonts w:ascii="Arial" w:cs="Arial" w:eastAsia="Arial" w:hAnsi="Arial"/>
          <w:sz w:val="19"/>
          <w:szCs w:val="19"/>
          <w:b w:val="1"/>
          <w:bCs w:val="1"/>
          <w:color w:val="auto"/>
        </w:rPr>
        <w:t xml:space="preserve">Nicholas DiPaolo. </w:t>
      </w:r>
      <w:r>
        <w:rPr>
          <w:rFonts w:ascii="Arial" w:cs="Arial" w:eastAsia="Arial" w:hAnsi="Arial"/>
          <w:sz w:val="19"/>
          <w:szCs w:val="19"/>
          <w:color w:val="auto"/>
        </w:rPr>
        <w:t>Age 66. Director since 2002. Vice Chairman of Bernard Chaus, Inc. (apparel designer and manufacturer) from November</w:t>
      </w:r>
      <w:r>
        <w:rPr>
          <w:rFonts w:ascii="Arial" w:cs="Arial" w:eastAsia="Arial" w:hAnsi="Arial"/>
          <w:sz w:val="19"/>
          <w:szCs w:val="19"/>
          <w:b w:val="1"/>
          <w:bCs w:val="1"/>
          <w:color w:val="auto"/>
        </w:rPr>
        <w:t xml:space="preserve"> </w:t>
      </w:r>
      <w:r>
        <w:rPr>
          <w:rFonts w:ascii="Arial" w:cs="Arial" w:eastAsia="Arial" w:hAnsi="Arial"/>
          <w:sz w:val="19"/>
          <w:szCs w:val="19"/>
          <w:color w:val="auto"/>
        </w:rPr>
        <w:t>1, 2000 to June 23, 2005; Chief Operating Officer of Bernard Chaus from November 1, 2000 to October 18, 2004. Mr. DiPaolo is a director of JPS Industries and R.G. Barry Corporation.</w:t>
      </w:r>
    </w:p>
    <w:p>
      <w:pPr>
        <w:spacing w:after="0" w:line="57" w:lineRule="exact"/>
        <w:rPr>
          <w:sz w:val="20"/>
          <w:szCs w:val="20"/>
          <w:color w:val="auto"/>
        </w:rPr>
      </w:pPr>
    </w:p>
    <w:p>
      <w:pPr>
        <w:ind w:right="20" w:firstLine="357"/>
        <w:spacing w:after="0" w:line="261" w:lineRule="auto"/>
        <w:rPr>
          <w:sz w:val="20"/>
          <w:szCs w:val="20"/>
          <w:color w:val="auto"/>
        </w:rPr>
      </w:pPr>
      <w:r>
        <w:rPr>
          <w:rFonts w:ascii="Arial" w:cs="Arial" w:eastAsia="Arial" w:hAnsi="Arial"/>
          <w:sz w:val="19"/>
          <w:szCs w:val="19"/>
          <w:b w:val="1"/>
          <w:bCs w:val="1"/>
          <w:color w:val="auto"/>
        </w:rPr>
        <w:t xml:space="preserve">Matthew M. McKenna. </w:t>
      </w:r>
      <w:r>
        <w:rPr>
          <w:rFonts w:ascii="Arial" w:cs="Arial" w:eastAsia="Arial" w:hAnsi="Arial"/>
          <w:sz w:val="19"/>
          <w:szCs w:val="19"/>
          <w:color w:val="auto"/>
        </w:rPr>
        <w:t>Age 57. Director since 2006. President and Chief Executive Officer of Keep America Beautiful, Inc. (non-profit</w:t>
      </w:r>
      <w:r>
        <w:rPr>
          <w:rFonts w:ascii="Arial" w:cs="Arial" w:eastAsia="Arial" w:hAnsi="Arial"/>
          <w:sz w:val="19"/>
          <w:szCs w:val="19"/>
          <w:b w:val="1"/>
          <w:bCs w:val="1"/>
          <w:color w:val="auto"/>
        </w:rPr>
        <w:t xml:space="preserve"> </w:t>
      </w:r>
      <w:r>
        <w:rPr>
          <w:rFonts w:ascii="Arial" w:cs="Arial" w:eastAsia="Arial" w:hAnsi="Arial"/>
          <w:sz w:val="19"/>
          <w:szCs w:val="19"/>
          <w:color w:val="auto"/>
        </w:rPr>
        <w:t>community improvement and educational organization) since January 1, 2008. He was Senior Vice President of Finance of PepsiCo, Inc. (global snack and beverage company) from August 6, 2001 through December 31, 2007. He is a director of PepsiAmericas, Inc. Mr. McKenna is also a member of the Duke University Library Advisory Board and serves on the board of the Manhattan Theater Club. He is also an adjunct professor at Fordham Business School and Fordham Law School in New York.</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60" w:name="page61"/>
    <w:bookmarkEnd w:id="60"/>
    <w:p>
      <w:pPr>
        <w:spacing w:after="0"/>
        <w:rPr>
          <w:sz w:val="20"/>
          <w:szCs w:val="20"/>
          <w:color w:val="auto"/>
        </w:rPr>
      </w:pPr>
      <w:r>
        <w:rPr>
          <w:rFonts w:ascii="Arial" w:cs="Arial" w:eastAsia="Arial" w:hAnsi="Arial"/>
          <w:sz w:val="19"/>
          <w:szCs w:val="19"/>
          <w:b w:val="1"/>
          <w:bCs w:val="1"/>
          <w:color w:val="auto"/>
        </w:rPr>
        <w:t>Directors Continuing in Office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2009</w:t>
      </w:r>
    </w:p>
    <w:p>
      <w:pPr>
        <w:spacing w:after="0" w:line="97" w:lineRule="exact"/>
        <w:rPr>
          <w:sz w:val="20"/>
          <w:szCs w:val="20"/>
          <w:color w:val="auto"/>
        </w:rPr>
      </w:pPr>
    </w:p>
    <w:p>
      <w:pPr>
        <w:ind w:right="260" w:firstLine="357"/>
        <w:spacing w:after="0" w:line="271" w:lineRule="auto"/>
        <w:rPr>
          <w:sz w:val="20"/>
          <w:szCs w:val="20"/>
          <w:color w:val="auto"/>
        </w:rPr>
      </w:pPr>
      <w:r>
        <w:rPr>
          <w:rFonts w:ascii="Arial" w:cs="Arial" w:eastAsia="Arial" w:hAnsi="Arial"/>
          <w:sz w:val="19"/>
          <w:szCs w:val="19"/>
          <w:b w:val="1"/>
          <w:bCs w:val="1"/>
          <w:color w:val="auto"/>
        </w:rPr>
        <w:t xml:space="preserve">Alan D. Feldman. </w:t>
      </w:r>
      <w:r>
        <w:rPr>
          <w:rFonts w:ascii="Arial" w:cs="Arial" w:eastAsia="Arial" w:hAnsi="Arial"/>
          <w:sz w:val="19"/>
          <w:szCs w:val="19"/>
          <w:color w:val="auto"/>
        </w:rPr>
        <w:t>Age 56. Director since 2005. Chairman, President and Chief Executive Officer of Midas, Inc. (automotive repair and</w:t>
      </w:r>
      <w:r>
        <w:rPr>
          <w:rFonts w:ascii="Arial" w:cs="Arial" w:eastAsia="Arial" w:hAnsi="Arial"/>
          <w:sz w:val="19"/>
          <w:szCs w:val="19"/>
          <w:b w:val="1"/>
          <w:bCs w:val="1"/>
          <w:color w:val="auto"/>
        </w:rPr>
        <w:t xml:space="preserve"> </w:t>
      </w:r>
      <w:r>
        <w:rPr>
          <w:rFonts w:ascii="Arial" w:cs="Arial" w:eastAsia="Arial" w:hAnsi="Arial"/>
          <w:sz w:val="19"/>
          <w:szCs w:val="19"/>
          <w:color w:val="auto"/>
        </w:rPr>
        <w:t>maintenance services) since May 1, 2006. He was President and Chief Executive Officer of Midas from January 13, 2003 to April 30, 2006. He was an independent consultant from March 2002 to January 2003. He is a director of Midas, Inc.</w:t>
      </w:r>
    </w:p>
    <w:p>
      <w:pPr>
        <w:spacing w:after="0" w:line="57" w:lineRule="exact"/>
        <w:rPr>
          <w:sz w:val="20"/>
          <w:szCs w:val="20"/>
          <w:color w:val="auto"/>
        </w:rPr>
      </w:pPr>
    </w:p>
    <w:p>
      <w:pPr>
        <w:ind w:right="100" w:firstLine="357"/>
        <w:spacing w:after="0" w:line="264" w:lineRule="auto"/>
        <w:rPr>
          <w:sz w:val="20"/>
          <w:szCs w:val="20"/>
          <w:color w:val="auto"/>
        </w:rPr>
      </w:pPr>
      <w:r>
        <w:rPr>
          <w:rFonts w:ascii="Arial" w:cs="Arial" w:eastAsia="Arial" w:hAnsi="Arial"/>
          <w:sz w:val="19"/>
          <w:szCs w:val="19"/>
          <w:b w:val="1"/>
          <w:bCs w:val="1"/>
          <w:color w:val="auto"/>
        </w:rPr>
        <w:t xml:space="preserve">Jarobin Gilbert Jr. </w:t>
      </w:r>
      <w:r>
        <w:rPr>
          <w:rFonts w:ascii="Arial" w:cs="Arial" w:eastAsia="Arial" w:hAnsi="Arial"/>
          <w:sz w:val="19"/>
          <w:szCs w:val="19"/>
          <w:color w:val="auto"/>
        </w:rPr>
        <w:t>Age 62. Director since 1981. President and Chief Executive Officer of DBSS Group, Inc. (management, planning and</w:t>
      </w:r>
      <w:r>
        <w:rPr>
          <w:rFonts w:ascii="Arial" w:cs="Arial" w:eastAsia="Arial" w:hAnsi="Arial"/>
          <w:sz w:val="19"/>
          <w:szCs w:val="19"/>
          <w:b w:val="1"/>
          <w:bCs w:val="1"/>
          <w:color w:val="auto"/>
        </w:rPr>
        <w:t xml:space="preserve"> </w:t>
      </w:r>
      <w:r>
        <w:rPr>
          <w:rFonts w:ascii="Arial" w:cs="Arial" w:eastAsia="Arial" w:hAnsi="Arial"/>
          <w:sz w:val="19"/>
          <w:szCs w:val="19"/>
          <w:color w:val="auto"/>
        </w:rPr>
        <w:t>trade consulting services) since 1992. He is a director of PepsiAmericas, Inc. and Midas, Inc. He is Chairman of the Board of Trustees of Atlantic Mutual Insurance Company. Mr. Gilbert is also a director of Harlem Partnership, Inc. and a permanent member of the Council on Foreign Relations.</w:t>
      </w:r>
    </w:p>
    <w:p>
      <w:pPr>
        <w:spacing w:after="0" w:line="65" w:lineRule="exact"/>
        <w:rPr>
          <w:sz w:val="20"/>
          <w:szCs w:val="20"/>
          <w:color w:val="auto"/>
        </w:rPr>
      </w:pPr>
    </w:p>
    <w:p>
      <w:pPr>
        <w:ind w:right="360" w:firstLine="357"/>
        <w:spacing w:after="0" w:line="271" w:lineRule="auto"/>
        <w:rPr>
          <w:sz w:val="20"/>
          <w:szCs w:val="20"/>
          <w:color w:val="auto"/>
        </w:rPr>
      </w:pPr>
      <w:r>
        <w:rPr>
          <w:rFonts w:ascii="Arial" w:cs="Arial" w:eastAsia="Arial" w:hAnsi="Arial"/>
          <w:sz w:val="19"/>
          <w:szCs w:val="19"/>
          <w:b w:val="1"/>
          <w:bCs w:val="1"/>
          <w:color w:val="auto"/>
        </w:rPr>
        <w:t xml:space="preserve">David Y. Schwartz. </w:t>
      </w:r>
      <w:r>
        <w:rPr>
          <w:rFonts w:ascii="Arial" w:cs="Arial" w:eastAsia="Arial" w:hAnsi="Arial"/>
          <w:sz w:val="19"/>
          <w:szCs w:val="19"/>
          <w:color w:val="auto"/>
        </w:rPr>
        <w:t>Age 67. Director since 2000. Independent business adviser and consultant, principally in the retail, distribution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industries, since July 1997. He was a partner with Arthur Andersen LLP from 1972 until he retired from that public accounting firm in 1997. Mr. Schwartz is a director of Walgreen Co., Stage Stores, Inc., and True Value Company.</w:t>
      </w:r>
    </w:p>
    <w:p>
      <w:pPr>
        <w:spacing w:after="0" w:line="57" w:lineRule="exact"/>
        <w:rPr>
          <w:sz w:val="20"/>
          <w:szCs w:val="20"/>
          <w:color w:val="auto"/>
        </w:rPr>
      </w:pPr>
    </w:p>
    <w:p>
      <w:pPr>
        <w:ind w:right="80" w:firstLine="357"/>
        <w:spacing w:after="0" w:line="289" w:lineRule="auto"/>
        <w:rPr>
          <w:sz w:val="20"/>
          <w:szCs w:val="20"/>
          <w:color w:val="auto"/>
        </w:rPr>
      </w:pPr>
      <w:r>
        <w:rPr>
          <w:rFonts w:ascii="Arial" w:cs="Arial" w:eastAsia="Arial" w:hAnsi="Arial"/>
          <w:sz w:val="19"/>
          <w:szCs w:val="19"/>
          <w:b w:val="1"/>
          <w:bCs w:val="1"/>
          <w:color w:val="auto"/>
        </w:rPr>
        <w:t xml:space="preserve">Cheryl Nido Turpin. </w:t>
      </w:r>
      <w:r>
        <w:rPr>
          <w:rFonts w:ascii="Arial" w:cs="Arial" w:eastAsia="Arial" w:hAnsi="Arial"/>
          <w:sz w:val="19"/>
          <w:szCs w:val="19"/>
          <w:color w:val="auto"/>
        </w:rPr>
        <w:t>Age 60. Director since 2001. President and Chief Executive Officer of the Limited Stores (retail merchants), a division</w:t>
      </w:r>
      <w:r>
        <w:rPr>
          <w:rFonts w:ascii="Arial" w:cs="Arial" w:eastAsia="Arial" w:hAnsi="Arial"/>
          <w:sz w:val="19"/>
          <w:szCs w:val="19"/>
          <w:b w:val="1"/>
          <w:bCs w:val="1"/>
          <w:color w:val="auto"/>
        </w:rPr>
        <w:t xml:space="preserve"> </w:t>
      </w:r>
      <w:r>
        <w:rPr>
          <w:rFonts w:ascii="Arial" w:cs="Arial" w:eastAsia="Arial" w:hAnsi="Arial"/>
          <w:sz w:val="19"/>
          <w:szCs w:val="19"/>
          <w:color w:val="auto"/>
        </w:rPr>
        <w:t>of Limited Brands, Inc., from June 1994 to August 1997. Ms. Turpin is a director of The Warnaco Group, Inc.</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Directors Continuing in Office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Expiring in 2010</w:t>
      </w:r>
    </w:p>
    <w:p>
      <w:pPr>
        <w:spacing w:after="0" w:line="97" w:lineRule="exact"/>
        <w:rPr>
          <w:sz w:val="20"/>
          <w:szCs w:val="20"/>
          <w:color w:val="auto"/>
        </w:rPr>
      </w:pPr>
    </w:p>
    <w:p>
      <w:pPr>
        <w:ind w:right="200" w:firstLine="357"/>
        <w:spacing w:after="0" w:line="319" w:lineRule="auto"/>
        <w:rPr>
          <w:sz w:val="20"/>
          <w:szCs w:val="20"/>
          <w:color w:val="auto"/>
        </w:rPr>
      </w:pPr>
      <w:r>
        <w:rPr>
          <w:rFonts w:ascii="Arial" w:cs="Arial" w:eastAsia="Arial" w:hAnsi="Arial"/>
          <w:sz w:val="18"/>
          <w:szCs w:val="18"/>
          <w:b w:val="1"/>
          <w:bCs w:val="1"/>
          <w:color w:val="auto"/>
        </w:rPr>
        <w:t xml:space="preserve">James E. Preston. </w:t>
      </w:r>
      <w:r>
        <w:rPr>
          <w:rFonts w:ascii="Arial" w:cs="Arial" w:eastAsia="Arial" w:hAnsi="Arial"/>
          <w:sz w:val="18"/>
          <w:szCs w:val="18"/>
          <w:color w:val="auto"/>
        </w:rPr>
        <w:t>Age 74. Director since 1983. Chairman of the Board of Avon Products, Inc. (manufacture and sale of beauty and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from 1989 to May 6, 1999, and Chairman and Chief Executive Officer of Avon Products, Inc. from 1989 to June 1998.</w:t>
      </w:r>
    </w:p>
    <w:p>
      <w:pPr>
        <w:spacing w:after="0" w:line="17" w:lineRule="exact"/>
        <w:rPr>
          <w:sz w:val="20"/>
          <w:szCs w:val="20"/>
          <w:color w:val="auto"/>
        </w:rPr>
      </w:pPr>
    </w:p>
    <w:p>
      <w:pPr>
        <w:ind w:right="60" w:firstLine="357"/>
        <w:spacing w:after="0" w:line="348" w:lineRule="auto"/>
        <w:rPr>
          <w:sz w:val="20"/>
          <w:szCs w:val="20"/>
          <w:color w:val="auto"/>
        </w:rPr>
      </w:pPr>
      <w:r>
        <w:rPr>
          <w:rFonts w:ascii="Arial" w:cs="Arial" w:eastAsia="Arial" w:hAnsi="Arial"/>
          <w:sz w:val="17"/>
          <w:szCs w:val="17"/>
          <w:b w:val="1"/>
          <w:bCs w:val="1"/>
          <w:color w:val="auto"/>
        </w:rPr>
        <w:t xml:space="preserve">Matthew D. Serra. </w:t>
      </w:r>
      <w:r>
        <w:rPr>
          <w:rFonts w:ascii="Arial" w:cs="Arial" w:eastAsia="Arial" w:hAnsi="Arial"/>
          <w:sz w:val="17"/>
          <w:szCs w:val="17"/>
          <w:color w:val="auto"/>
        </w:rPr>
        <w:t>Age 63. Director since 2000. The Company’s Chairman of the Board since February 1, 2004, President since April 12,</w:t>
      </w:r>
      <w:r>
        <w:rPr>
          <w:rFonts w:ascii="Arial" w:cs="Arial" w:eastAsia="Arial" w:hAnsi="Arial"/>
          <w:sz w:val="17"/>
          <w:szCs w:val="17"/>
          <w:b w:val="1"/>
          <w:bCs w:val="1"/>
          <w:color w:val="auto"/>
        </w:rPr>
        <w:t xml:space="preserve"> </w:t>
      </w:r>
      <w:r>
        <w:rPr>
          <w:rFonts w:ascii="Arial" w:cs="Arial" w:eastAsia="Arial" w:hAnsi="Arial"/>
          <w:sz w:val="17"/>
          <w:szCs w:val="17"/>
          <w:color w:val="auto"/>
        </w:rPr>
        <w:t>2000, and Chief Executive Officer since March 4, 2001. He was the Company’s Chief Operating Officer from February 9, 2000 to March 3, 2001.</w:t>
      </w:r>
    </w:p>
    <w:p>
      <w:pPr>
        <w:ind w:firstLine="357"/>
        <w:spacing w:after="0" w:line="275" w:lineRule="auto"/>
        <w:rPr>
          <w:sz w:val="20"/>
          <w:szCs w:val="20"/>
          <w:color w:val="auto"/>
        </w:rPr>
      </w:pPr>
      <w:r>
        <w:rPr>
          <w:rFonts w:ascii="Arial" w:cs="Arial" w:eastAsia="Arial" w:hAnsi="Arial"/>
          <w:sz w:val="18"/>
          <w:szCs w:val="18"/>
          <w:b w:val="1"/>
          <w:bCs w:val="1"/>
          <w:color w:val="auto"/>
        </w:rPr>
        <w:t xml:space="preserve">Dona D. Young. </w:t>
      </w:r>
      <w:r>
        <w:rPr>
          <w:rFonts w:ascii="Arial" w:cs="Arial" w:eastAsia="Arial" w:hAnsi="Arial"/>
          <w:sz w:val="18"/>
          <w:szCs w:val="18"/>
          <w:color w:val="auto"/>
        </w:rPr>
        <w:t>Age 54. Director since 2001. Chairman of the Board, President and Chief Executive Officer of The Phoenix Companies, Inc.</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of wealth management products and services to individuals and institutions). Mrs. Young has held the positions of Chairman of the Board since April 1, 2003, President since February 2000, and Chief Executive Officer since January 1, 2003. She served as Chief Operating Officer from February 2001 to December 31, 2002. Mrs. Young is also Chairman of the Board since April 1, 2003 and Chief Executive Officer since January 1, 2003 of Phoenix Life Insurance Company. She previously served as President of Phoenix Life Insurance Company from February 2000 to March 31, 2003 and Chief Operating Officer from February 2001 to December 31, 2002. Mrs. Young joined Phoenix Home Life Mutual Insurance Company in 1980. She is a director of The Phoenix Companies, Inc. and Wachovia Corporation.</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61" w:name="page62"/>
    <w:bookmarkEnd w:id="61"/>
    <w:p>
      <w:pPr>
        <w:jc w:val="center"/>
        <w:spacing w:after="0"/>
        <w:rPr>
          <w:sz w:val="20"/>
          <w:szCs w:val="20"/>
          <w:color w:val="auto"/>
        </w:rPr>
      </w:pPr>
      <w:r>
        <w:rPr>
          <w:rFonts w:ascii="Arial" w:cs="Arial" w:eastAsia="Arial" w:hAnsi="Arial"/>
          <w:sz w:val="19"/>
          <w:szCs w:val="19"/>
          <w:b w:val="1"/>
          <w:bCs w:val="1"/>
          <w:color w:val="auto"/>
        </w:rPr>
        <w:t>PROPOSAL 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RATIFICATION OF THE APPOINTMENT OF INDEPENDENT ACCOUNTANTS</w:t>
      </w:r>
    </w:p>
    <w:p>
      <w:pPr>
        <w:spacing w:after="0" w:line="103"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The Audit Committee of the Board of Directors has appointed KPMG LLP as our independent registered public accountants for the 2008 fiscal year. We are asking shareholders at this meeting to ratify this appointment of KPMG LLP for 2008.</w:t>
      </w:r>
    </w:p>
    <w:p>
      <w:pPr>
        <w:spacing w:after="0" w:line="52"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Representatives of KPMG are expected to be present at the annual meeting and will have an opportunity to make a statement and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527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527050"/>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The Board of Directors recommends that shareholders vote FOR Proposal 2.</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and Non-Audit Fees</w:t>
      </w:r>
    </w:p>
    <w:p>
      <w:pPr>
        <w:spacing w:after="0" w:line="125"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The following table shows the fees we paid to KPMG for the audit of Foot Locker’s annual financial statements for 2007 and 2006, as well as the fees billed for other services KPMG provided during these two fiscal years.</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539"/>
        </w:trPr>
        <w:tc>
          <w:tcPr>
            <w:tcW w:w="480" w:type="dxa"/>
            <w:vAlign w:val="bottom"/>
            <w:tcBorders>
              <w:top w:val="single" w:sz="8" w:color="auto"/>
              <w:left w:val="single" w:sz="8" w:color="auto"/>
            </w:tcBorders>
          </w:tcPr>
          <w:p>
            <w:pPr>
              <w:spacing w:after="0"/>
              <w:rPr>
                <w:sz w:val="24"/>
                <w:szCs w:val="24"/>
                <w:color w:val="auto"/>
              </w:rPr>
            </w:pPr>
          </w:p>
        </w:tc>
        <w:tc>
          <w:tcPr>
            <w:tcW w:w="74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6"/>
                <w:szCs w:val="16"/>
                <w:b w:val="1"/>
                <w:bCs w:val="1"/>
                <w:color w:val="auto"/>
              </w:rPr>
              <w:t>Category</w:t>
            </w: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2007</w:t>
            </w: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6"/>
                <w:szCs w:val="16"/>
                <w:b w:val="1"/>
                <w:bCs w:val="1"/>
                <w:color w:val="auto"/>
              </w:rPr>
              <w:t>2006</w:t>
            </w:r>
          </w:p>
        </w:tc>
        <w:tc>
          <w:tcPr>
            <w:tcW w:w="560" w:type="dxa"/>
            <w:vAlign w:val="bottom"/>
            <w:tcBorders>
              <w:top w:val="single" w:sz="8" w:color="auto"/>
              <w:right w:val="single" w:sz="8" w:color="auto"/>
            </w:tcBorders>
          </w:tcPr>
          <w:p>
            <w:pPr>
              <w:spacing w:after="0"/>
              <w:rPr>
                <w:sz w:val="24"/>
                <w:szCs w:val="24"/>
                <w:color w:val="auto"/>
              </w:rPr>
            </w:pPr>
          </w:p>
        </w:tc>
      </w:tr>
      <w:tr>
        <w:trPr>
          <w:trHeight w:val="268"/>
        </w:trPr>
        <w:tc>
          <w:tcPr>
            <w:tcW w:w="480" w:type="dxa"/>
            <w:vAlign w:val="bottom"/>
            <w:tcBorders>
              <w:left w:val="single" w:sz="8" w:color="auto"/>
            </w:tcBorders>
          </w:tcPr>
          <w:p>
            <w:pPr>
              <w:spacing w:after="0"/>
              <w:rPr>
                <w:sz w:val="23"/>
                <w:szCs w:val="23"/>
                <w:color w:val="auto"/>
              </w:rPr>
            </w:pPr>
          </w:p>
        </w:tc>
        <w:tc>
          <w:tcPr>
            <w:tcW w:w="7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Audit Fees (1)</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w w:val="99"/>
              </w:rPr>
              <w:t>2,780,000</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w w:val="99"/>
              </w:rPr>
              <w:t>2,586,000</w:t>
            </w:r>
          </w:p>
        </w:tc>
        <w:tc>
          <w:tcPr>
            <w:tcW w:w="560" w:type="dxa"/>
            <w:vAlign w:val="bottom"/>
            <w:tcBorders>
              <w:right w:val="single" w:sz="8" w:color="auto"/>
            </w:tcBorders>
          </w:tcPr>
          <w:p>
            <w:pPr>
              <w:spacing w:after="0"/>
              <w:rPr>
                <w:sz w:val="23"/>
                <w:szCs w:val="23"/>
                <w:color w:val="auto"/>
              </w:rPr>
            </w:pPr>
          </w:p>
        </w:tc>
      </w:tr>
      <w:tr>
        <w:trPr>
          <w:trHeight w:val="265"/>
        </w:trPr>
        <w:tc>
          <w:tcPr>
            <w:tcW w:w="480" w:type="dxa"/>
            <w:vAlign w:val="bottom"/>
            <w:tcBorders>
              <w:left w:val="single" w:sz="8" w:color="auto"/>
            </w:tcBorders>
          </w:tcPr>
          <w:p>
            <w:pPr>
              <w:spacing w:after="0"/>
              <w:rPr>
                <w:sz w:val="23"/>
                <w:szCs w:val="23"/>
                <w:color w:val="auto"/>
              </w:rPr>
            </w:pPr>
          </w:p>
        </w:tc>
        <w:tc>
          <w:tcPr>
            <w:tcW w:w="7420" w:type="dxa"/>
            <w:vAlign w:val="bottom"/>
          </w:tcPr>
          <w:p>
            <w:pPr>
              <w:ind w:left="20"/>
              <w:spacing w:after="0"/>
              <w:rPr>
                <w:sz w:val="20"/>
                <w:szCs w:val="20"/>
                <w:color w:val="auto"/>
              </w:rPr>
            </w:pPr>
            <w:r>
              <w:rPr>
                <w:rFonts w:ascii="Arial" w:cs="Arial" w:eastAsia="Arial" w:hAnsi="Arial"/>
                <w:sz w:val="19"/>
                <w:szCs w:val="19"/>
                <w:color w:val="auto"/>
              </w:rPr>
              <w:t>Audit-Related Fees (2)</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
              <w:spacing w:after="0"/>
              <w:rPr>
                <w:sz w:val="20"/>
                <w:szCs w:val="20"/>
                <w:color w:val="auto"/>
              </w:rPr>
            </w:pPr>
            <w:r>
              <w:rPr>
                <w:rFonts w:ascii="Arial" w:cs="Arial" w:eastAsia="Arial" w:hAnsi="Arial"/>
                <w:sz w:val="19"/>
                <w:szCs w:val="19"/>
                <w:color w:val="auto"/>
              </w:rPr>
              <w:t>198,000</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jc w:val="right"/>
              <w:ind w:right="6"/>
              <w:spacing w:after="0"/>
              <w:rPr>
                <w:sz w:val="20"/>
                <w:szCs w:val="20"/>
                <w:color w:val="auto"/>
              </w:rPr>
            </w:pPr>
            <w:r>
              <w:rPr>
                <w:rFonts w:ascii="Arial" w:cs="Arial" w:eastAsia="Arial" w:hAnsi="Arial"/>
                <w:sz w:val="19"/>
                <w:szCs w:val="19"/>
                <w:color w:val="auto"/>
              </w:rPr>
              <w:t>131,000</w:t>
            </w:r>
          </w:p>
        </w:tc>
        <w:tc>
          <w:tcPr>
            <w:tcW w:w="560" w:type="dxa"/>
            <w:vAlign w:val="bottom"/>
            <w:tcBorders>
              <w:right w:val="single" w:sz="8" w:color="auto"/>
            </w:tcBorders>
          </w:tcPr>
          <w:p>
            <w:pPr>
              <w:spacing w:after="0"/>
              <w:rPr>
                <w:sz w:val="23"/>
                <w:szCs w:val="23"/>
                <w:color w:val="auto"/>
              </w:rPr>
            </w:pPr>
          </w:p>
        </w:tc>
      </w:tr>
      <w:tr>
        <w:trPr>
          <w:trHeight w:val="275"/>
        </w:trPr>
        <w:tc>
          <w:tcPr>
            <w:tcW w:w="480" w:type="dxa"/>
            <w:vAlign w:val="bottom"/>
            <w:tcBorders>
              <w:left w:val="single" w:sz="8" w:color="auto"/>
            </w:tcBorders>
          </w:tcPr>
          <w:p>
            <w:pPr>
              <w:spacing w:after="0"/>
              <w:rPr>
                <w:sz w:val="23"/>
                <w:szCs w:val="23"/>
                <w:color w:val="auto"/>
              </w:rPr>
            </w:pPr>
          </w:p>
        </w:tc>
        <w:tc>
          <w:tcPr>
            <w:tcW w:w="7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Tax Fees (3)</w:t>
            </w:r>
          </w:p>
        </w:tc>
        <w:tc>
          <w:tcPr>
            <w:tcW w:w="280" w:type="dxa"/>
            <w:vAlign w:val="bottom"/>
            <w:shd w:val="clear" w:color="auto" w:fill="E5FFFF"/>
          </w:tcPr>
          <w:p>
            <w:pPr>
              <w:spacing w:after="0"/>
              <w:rPr>
                <w:sz w:val="23"/>
                <w:szCs w:val="23"/>
                <w:color w:val="auto"/>
              </w:rPr>
            </w:pPr>
          </w:p>
        </w:tc>
        <w:tc>
          <w:tcPr>
            <w:tcW w:w="22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4,000</w:t>
            </w:r>
          </w:p>
        </w:tc>
        <w:tc>
          <w:tcPr>
            <w:tcW w:w="300" w:type="dxa"/>
            <w:vAlign w:val="bottom"/>
            <w:shd w:val="clear" w:color="auto" w:fill="E5FFFF"/>
          </w:tcPr>
          <w:p>
            <w:pPr>
              <w:spacing w:after="0"/>
              <w:rPr>
                <w:sz w:val="23"/>
                <w:szCs w:val="23"/>
                <w:color w:val="auto"/>
              </w:rPr>
            </w:pPr>
          </w:p>
        </w:tc>
        <w:tc>
          <w:tcPr>
            <w:tcW w:w="240" w:type="dxa"/>
            <w:vAlign w:val="bottom"/>
            <w:shd w:val="clear" w:color="auto" w:fill="E5FFFF"/>
          </w:tcPr>
          <w:p>
            <w:pPr>
              <w:spacing w:after="0"/>
              <w:rPr>
                <w:sz w:val="23"/>
                <w:szCs w:val="23"/>
                <w:color w:val="auto"/>
              </w:rPr>
            </w:pPr>
          </w:p>
        </w:tc>
        <w:tc>
          <w:tcPr>
            <w:tcW w:w="9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rPr>
              <w:t>63,000</w:t>
            </w:r>
          </w:p>
        </w:tc>
        <w:tc>
          <w:tcPr>
            <w:tcW w:w="560" w:type="dxa"/>
            <w:vAlign w:val="bottom"/>
            <w:tcBorders>
              <w:right w:val="single" w:sz="8" w:color="auto"/>
            </w:tcBorders>
          </w:tcPr>
          <w:p>
            <w:pPr>
              <w:spacing w:after="0"/>
              <w:rPr>
                <w:sz w:val="23"/>
                <w:szCs w:val="23"/>
                <w:color w:val="auto"/>
              </w:rPr>
            </w:pPr>
          </w:p>
        </w:tc>
      </w:tr>
      <w:tr>
        <w:trPr>
          <w:trHeight w:val="265"/>
        </w:trPr>
        <w:tc>
          <w:tcPr>
            <w:tcW w:w="480" w:type="dxa"/>
            <w:vAlign w:val="bottom"/>
            <w:tcBorders>
              <w:left w:val="single" w:sz="8" w:color="auto"/>
            </w:tcBorders>
          </w:tcPr>
          <w:p>
            <w:pPr>
              <w:spacing w:after="0"/>
              <w:rPr>
                <w:sz w:val="23"/>
                <w:szCs w:val="23"/>
                <w:color w:val="auto"/>
              </w:rPr>
            </w:pPr>
          </w:p>
        </w:tc>
        <w:tc>
          <w:tcPr>
            <w:tcW w:w="7420" w:type="dxa"/>
            <w:vAlign w:val="bottom"/>
          </w:tcPr>
          <w:p>
            <w:pPr>
              <w:ind w:left="20"/>
              <w:spacing w:after="0"/>
              <w:rPr>
                <w:sz w:val="20"/>
                <w:szCs w:val="20"/>
                <w:color w:val="auto"/>
              </w:rPr>
            </w:pPr>
            <w:r>
              <w:rPr>
                <w:rFonts w:ascii="Arial" w:cs="Arial" w:eastAsia="Arial" w:hAnsi="Arial"/>
                <w:sz w:val="19"/>
                <w:szCs w:val="19"/>
                <w:color w:val="auto"/>
              </w:rPr>
              <w:t>All Other Fees</w:t>
            </w:r>
          </w:p>
        </w:tc>
        <w:tc>
          <w:tcPr>
            <w:tcW w:w="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0</w:t>
            </w:r>
          </w:p>
        </w:tc>
        <w:tc>
          <w:tcPr>
            <w:tcW w:w="3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9"/>
                <w:szCs w:val="19"/>
                <w:color w:val="auto"/>
              </w:rPr>
              <w:t>0</w:t>
            </w:r>
          </w:p>
        </w:tc>
        <w:tc>
          <w:tcPr>
            <w:tcW w:w="560" w:type="dxa"/>
            <w:vAlign w:val="bottom"/>
            <w:tcBorders>
              <w:right w:val="single" w:sz="8" w:color="auto"/>
            </w:tcBorders>
          </w:tcPr>
          <w:p>
            <w:pPr>
              <w:spacing w:after="0"/>
              <w:rPr>
                <w:sz w:val="23"/>
                <w:szCs w:val="23"/>
                <w:color w:val="auto"/>
              </w:rPr>
            </w:pPr>
          </w:p>
        </w:tc>
      </w:tr>
      <w:tr>
        <w:trPr>
          <w:trHeight w:val="39"/>
        </w:trPr>
        <w:tc>
          <w:tcPr>
            <w:tcW w:w="480" w:type="dxa"/>
            <w:vAlign w:val="bottom"/>
            <w:tcBorders>
              <w:left w:val="single" w:sz="8" w:color="auto"/>
            </w:tcBorders>
          </w:tcPr>
          <w:p>
            <w:pPr>
              <w:spacing w:after="0"/>
              <w:rPr>
                <w:sz w:val="3"/>
                <w:szCs w:val="3"/>
                <w:color w:val="auto"/>
              </w:rPr>
            </w:pPr>
          </w:p>
        </w:tc>
        <w:tc>
          <w:tcPr>
            <w:tcW w:w="7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r>
      <w:tr>
        <w:trPr>
          <w:trHeight w:val="270"/>
        </w:trPr>
        <w:tc>
          <w:tcPr>
            <w:tcW w:w="480" w:type="dxa"/>
            <w:vAlign w:val="bottom"/>
            <w:tcBorders>
              <w:left w:val="single" w:sz="8" w:color="auto"/>
            </w:tcBorders>
          </w:tcPr>
          <w:p>
            <w:pPr>
              <w:spacing w:after="0"/>
              <w:rPr>
                <w:sz w:val="23"/>
                <w:szCs w:val="23"/>
                <w:color w:val="auto"/>
              </w:rPr>
            </w:pPr>
          </w:p>
        </w:tc>
        <w:tc>
          <w:tcPr>
            <w:tcW w:w="7420" w:type="dxa"/>
            <w:vAlign w:val="bottom"/>
            <w:shd w:val="clear" w:color="auto" w:fill="E5FFFF"/>
          </w:tcPr>
          <w:p>
            <w:pPr>
              <w:ind w:left="20"/>
              <w:spacing w:after="0"/>
              <w:rPr>
                <w:sz w:val="20"/>
                <w:szCs w:val="20"/>
                <w:color w:val="auto"/>
              </w:rPr>
            </w:pPr>
            <w:r>
              <w:rPr>
                <w:rFonts w:ascii="Arial" w:cs="Arial" w:eastAsia="Arial" w:hAnsi="Arial"/>
                <w:sz w:val="19"/>
                <w:szCs w:val="19"/>
                <w:color w:val="auto"/>
              </w:rPr>
              <w:t>Total</w:t>
            </w:r>
          </w:p>
        </w:tc>
        <w:tc>
          <w:tcPr>
            <w:tcW w:w="50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w w:val="99"/>
              </w:rPr>
              <w:t>2,982,000</w:t>
            </w:r>
          </w:p>
        </w:tc>
        <w:tc>
          <w:tcPr>
            <w:tcW w:w="54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960" w:type="dxa"/>
            <w:vAlign w:val="bottom"/>
            <w:shd w:val="clear" w:color="auto" w:fill="E5FFFF"/>
          </w:tcPr>
          <w:p>
            <w:pPr>
              <w:jc w:val="right"/>
              <w:ind w:right="6"/>
              <w:spacing w:after="0"/>
              <w:rPr>
                <w:sz w:val="20"/>
                <w:szCs w:val="20"/>
                <w:color w:val="auto"/>
              </w:rPr>
            </w:pPr>
            <w:r>
              <w:rPr>
                <w:rFonts w:ascii="Arial" w:cs="Arial" w:eastAsia="Arial" w:hAnsi="Arial"/>
                <w:sz w:val="19"/>
                <w:szCs w:val="19"/>
                <w:color w:val="auto"/>
                <w:w w:val="99"/>
              </w:rPr>
              <w:t>2,780,000</w:t>
            </w:r>
          </w:p>
        </w:tc>
        <w:tc>
          <w:tcPr>
            <w:tcW w:w="560" w:type="dxa"/>
            <w:vAlign w:val="bottom"/>
            <w:tcBorders>
              <w:right w:val="single" w:sz="8" w:color="auto"/>
            </w:tcBorders>
          </w:tcPr>
          <w:p>
            <w:pPr>
              <w:spacing w:after="0"/>
              <w:rPr>
                <w:sz w:val="23"/>
                <w:szCs w:val="23"/>
                <w:color w:val="auto"/>
              </w:rPr>
            </w:pPr>
          </w:p>
        </w:tc>
      </w:tr>
      <w:tr>
        <w:trPr>
          <w:trHeight w:val="20"/>
        </w:trPr>
        <w:tc>
          <w:tcPr>
            <w:tcW w:w="480" w:type="dxa"/>
            <w:vAlign w:val="bottom"/>
            <w:tcBorders>
              <w:left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r>
      <w:tr>
        <w:trPr>
          <w:trHeight w:val="247"/>
        </w:trPr>
        <w:tc>
          <w:tcPr>
            <w:tcW w:w="480" w:type="dxa"/>
            <w:vAlign w:val="bottom"/>
            <w:tcBorders>
              <w:left w:val="single" w:sz="8" w:color="auto"/>
              <w:bottom w:val="single" w:sz="8" w:color="auto"/>
            </w:tcBorders>
          </w:tcPr>
          <w:p>
            <w:pPr>
              <w:spacing w:after="0"/>
              <w:rPr>
                <w:sz w:val="21"/>
                <w:szCs w:val="21"/>
                <w:color w:val="auto"/>
              </w:rPr>
            </w:pPr>
          </w:p>
        </w:tc>
        <w:tc>
          <w:tcPr>
            <w:tcW w:w="74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u w:val="single" w:color="auto"/>
          <w:color w:val="auto"/>
        </w:rPr>
        <w:t>Notes to Audit and Non-Audit Fees Table</w:t>
      </w:r>
    </w:p>
    <w:p>
      <w:pPr>
        <w:spacing w:after="0" w:line="173" w:lineRule="exact"/>
        <w:rPr>
          <w:sz w:val="20"/>
          <w:szCs w:val="20"/>
          <w:color w:val="auto"/>
        </w:rPr>
      </w:pPr>
    </w:p>
    <w:p>
      <w:pPr>
        <w:ind w:left="420" w:right="280" w:hanging="314"/>
        <w:spacing w:after="0" w:line="267" w:lineRule="auto"/>
        <w:tabs>
          <w:tab w:leader="none" w:pos="4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Audit fees consisted of professional services provided in connection with the audit of our annual financial statements, reviews of financial statements included in our Form 10-Qs, reviews of registration statements and issuances of consents, as well as work generally only the independent auditor can reasonably be expected to provide, such as statutory audits.</w:t>
      </w:r>
    </w:p>
    <w:p>
      <w:pPr>
        <w:spacing w:after="0" w:line="81" w:lineRule="exact"/>
        <w:rPr>
          <w:rFonts w:ascii="Arial" w:cs="Arial" w:eastAsia="Arial" w:hAnsi="Arial"/>
          <w:sz w:val="19"/>
          <w:szCs w:val="19"/>
          <w:color w:val="auto"/>
        </w:rPr>
      </w:pPr>
    </w:p>
    <w:p>
      <w:pPr>
        <w:ind w:left="420" w:hanging="314"/>
        <w:spacing w:after="0"/>
        <w:tabs>
          <w:tab w:leader="none" w:pos="4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Audit-related fees consisted principally of audits of financial statements of certain employee benefit plans.</w:t>
      </w:r>
    </w:p>
    <w:p>
      <w:pPr>
        <w:spacing w:after="0" w:line="132" w:lineRule="exact"/>
        <w:rPr>
          <w:rFonts w:ascii="Arial" w:cs="Arial" w:eastAsia="Arial" w:hAnsi="Arial"/>
          <w:sz w:val="19"/>
          <w:szCs w:val="19"/>
          <w:color w:val="auto"/>
        </w:rPr>
      </w:pPr>
    </w:p>
    <w:p>
      <w:pPr>
        <w:ind w:left="420" w:hanging="314"/>
        <w:spacing w:after="0"/>
        <w:tabs>
          <w:tab w:leader="none" w:pos="4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Tax fees consisted principally of assistance with matters related to tax compliance.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 Committee Pre-Approval Policies and Procedures</w:t>
      </w:r>
    </w:p>
    <w:p>
      <w:pPr>
        <w:spacing w:after="0" w:line="125"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 xml:space="preserve">The Audit Committee has a policy that all audit and non-audit services to be provided by our independent accountants, including services for our subsidiaries and affiliates, are to be approved in advance by the Audit Committee, regardless of the estimated cost for providing such services. Between meetings of the Committee, the Audit Committee has delegated this authority to the Chair of the Committee. In practice, these fees are normally approved by the Committee Chair and reviewed with the Audit Committee at a subsequent meeting. Management reviews with the Audit Committee at regularly scheduled meetings the total amount and nature of the audit and non-audit services provided by the independent accountants, including services for our subsidiaries and affiliates, since the Committee’s last meeting. None of the services pre-approved by the Audit Committee or the Chair of the Committee during 2007 utilized the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exception to pre-approval contained in the applicable rules of the Securities and Exchange Commission.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9"/>
          <w:szCs w:val="19"/>
          <w:b w:val="1"/>
          <w:bCs w:val="1"/>
          <w:color w:val="auto"/>
        </w:rPr>
        <w:t>Audit Committee Report</w:t>
      </w:r>
    </w:p>
    <w:p>
      <w:pPr>
        <w:spacing w:after="0" w:line="125" w:lineRule="exact"/>
        <w:rPr>
          <w:sz w:val="20"/>
          <w:szCs w:val="20"/>
          <w:color w:val="auto"/>
        </w:rPr>
      </w:pPr>
    </w:p>
    <w:p>
      <w:pPr>
        <w:ind w:right="460" w:firstLine="357"/>
        <w:spacing w:after="0" w:line="262" w:lineRule="auto"/>
        <w:rPr>
          <w:sz w:val="20"/>
          <w:szCs w:val="20"/>
          <w:color w:val="auto"/>
        </w:rPr>
      </w:pPr>
      <w:r>
        <w:rPr>
          <w:rFonts w:ascii="Arial" w:cs="Arial" w:eastAsia="Arial" w:hAnsi="Arial"/>
          <w:sz w:val="19"/>
          <w:szCs w:val="19"/>
          <w:color w:val="auto"/>
        </w:rPr>
        <w:t>In accordance with the charter adopted by the Board of Directors, the Audit Committee assists the Board in fulfilling its oversight responsibilities in the areas of the Company’s accounting policies and practices and financial reporting. The Committee has responsibility for appointing the independent accountants and internal auditors. The Company’s management is responsible for establishing and maintaining adequate internal control over financial reporting.</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consists of five independent directors, as independence is defined under the rules of The New York Stock Exchange.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All of the Committee members meet the expertise requirements under the rules of The New York Stock Exchange.</w:t>
      </w:r>
    </w:p>
    <w:p>
      <w:pPr>
        <w:spacing w:after="0" w:line="103" w:lineRule="exact"/>
        <w:rPr>
          <w:sz w:val="20"/>
          <w:szCs w:val="20"/>
          <w:color w:val="auto"/>
        </w:rPr>
      </w:pPr>
    </w:p>
    <w:p>
      <w:pPr>
        <w:jc w:val="both"/>
        <w:ind w:right="60" w:firstLine="357"/>
        <w:spacing w:after="0" w:line="262" w:lineRule="auto"/>
        <w:rPr>
          <w:sz w:val="20"/>
          <w:szCs w:val="20"/>
          <w:color w:val="auto"/>
        </w:rPr>
      </w:pPr>
      <w:r>
        <w:rPr>
          <w:rFonts w:ascii="Arial" w:cs="Arial" w:eastAsia="Arial" w:hAnsi="Arial"/>
          <w:sz w:val="19"/>
          <w:szCs w:val="19"/>
          <w:color w:val="auto"/>
        </w:rPr>
        <w:t>The Audit Committee held eight meetings in 2007. At its meetings during 2007, the Committee discussed with management, KPMG LLP, the Company’s independent registered public accountants, and the Company’s internal auditors the assessment of the Company’s internal control over financial reporting. The Committee also discussed with KPMG its attestation report and opinion on the Company’s internal control over financial reporting contained in the Company’s 2007 Annual Report on Form 10-K.</w:t>
      </w:r>
    </w:p>
    <w:p>
      <w:pPr>
        <w:spacing w:after="0" w:line="72" w:lineRule="exact"/>
        <w:rPr>
          <w:sz w:val="20"/>
          <w:szCs w:val="20"/>
          <w:color w:val="auto"/>
        </w:rPr>
      </w:pPr>
    </w:p>
    <w:p>
      <w:pPr>
        <w:ind w:right="100" w:firstLine="357"/>
        <w:spacing w:after="0" w:line="281" w:lineRule="auto"/>
        <w:rPr>
          <w:sz w:val="20"/>
          <w:szCs w:val="20"/>
          <w:color w:val="auto"/>
        </w:rPr>
      </w:pPr>
      <w:r>
        <w:rPr>
          <w:rFonts w:ascii="Arial" w:cs="Arial" w:eastAsia="Arial" w:hAnsi="Arial"/>
          <w:sz w:val="18"/>
          <w:szCs w:val="18"/>
          <w:color w:val="auto"/>
        </w:rPr>
        <w:t>The Audit Committee reviewed and discussed with management and KPMG the audited financial statements for the 2007 fiscal year, which ended February 2, 2008. The Committee also discussed with KPMG the matters required to be discussed by Statement on Auditing Standards No. 61, as amended, “Communication with Audit Committees” and, with and without management present, discussed and reviewed the results of KPMG’s examination of the financial statements and the overall quality of the Company’s financial reporting.</w:t>
      </w:r>
    </w:p>
    <w:p>
      <w:pPr>
        <w:spacing w:after="0" w:line="57"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The Audit Committee obtained from KPMG the written disclosures and the letter required by Independence Standards Board Standard No. 1 “Independence Discussions with Audit Committees” and discussed with KPMG any relationships that may affect its objectivity. The Audit Committee also considered whether the non-audit services provided by KPMG to the Company are compatible with maintaining KPMG’s independence. The Committee has satisfied itself that KPMG is independent.</w:t>
      </w:r>
    </w:p>
    <w:p>
      <w:pPr>
        <w:spacing w:after="0" w:line="72"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Based on the review and discussions referred to above, the Audit Committee recommended to the Board of Directors that the audited financial statements be included in Foot Locker’s Annual Report on Form 10-K for the 2007 fiscal year.</w:t>
      </w:r>
    </w:p>
    <w:p>
      <w:pPr>
        <w:spacing w:after="0" w:line="3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 xml:space="preserve">Nicholas DiPaolo, </w:t>
      </w:r>
      <w:r>
        <w:rPr>
          <w:rFonts w:ascii="Arial" w:cs="Arial" w:eastAsia="Arial" w:hAnsi="Arial"/>
          <w:sz w:val="19"/>
          <w:szCs w:val="19"/>
          <w:i w:val="1"/>
          <w:iCs w:val="1"/>
          <w:color w:val="auto"/>
        </w:rPr>
        <w:t>Chair</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Jarobin Gilbert Jr.</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Matthew M. McKenna</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David Y. Schwartz</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Dona D. Young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9"/>
          <w:szCs w:val="19"/>
          <w:b w:val="1"/>
          <w:bCs w:val="1"/>
          <w:color w:val="auto"/>
        </w:rPr>
        <w:t>PROPOSAL 3:</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APPROVAL OF THE FOOT LOCKER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ANNUAL INCENTIVE COMPENSATION PLAN, AS AMENDED AND RESTATED</w:t>
      </w:r>
    </w:p>
    <w:p>
      <w:pPr>
        <w:spacing w:after="0" w:line="103" w:lineRule="exact"/>
        <w:rPr>
          <w:sz w:val="20"/>
          <w:szCs w:val="20"/>
          <w:color w:val="auto"/>
        </w:rPr>
      </w:pPr>
    </w:p>
    <w:p>
      <w:pPr>
        <w:ind w:right="220" w:firstLine="357"/>
        <w:spacing w:after="0" w:line="257" w:lineRule="auto"/>
        <w:rPr>
          <w:sz w:val="20"/>
          <w:szCs w:val="20"/>
          <w:color w:val="auto"/>
        </w:rPr>
      </w:pPr>
      <w:r>
        <w:rPr>
          <w:rFonts w:ascii="Arial" w:cs="Arial" w:eastAsia="Arial" w:hAnsi="Arial"/>
          <w:sz w:val="19"/>
          <w:szCs w:val="19"/>
          <w:color w:val="auto"/>
        </w:rPr>
        <w:t>The Foot Locker Annual Incentive Compensation Plan was amended and restated (the “Restated Annual Plan”) on March 26, 2008 by the Compensation and Management Resources Committee, subject to our shareholders’ approval at the 2008 annual meeting as to Covered Employees. The Restated Annual Plan is designed to comply with the requirements of Section 162(m) of the Internal Revenue Code. Under Section 162(m), the Company cannot deduct certain compensation in excess of $1 million paid to the named executive officers of the Company (each, a “Covered Employee”). Certain compensation, including compensation paid based on the achievement of pre-established performance goals, is excluded from this deduction limit if the material terms under which the compensation is to be paid, including the performance goals to be used, are approved by shareholders.</w:t>
      </w:r>
    </w:p>
    <w:p>
      <w:pPr>
        <w:spacing w:after="0" w:line="77"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We are asking shareholders to approve the Restated Annual Plan, including the performance goals under the plan. Except for the addition of a goal related to division profit, the goals are unchanged from 2003 when shareholders last approved the performance goals. We are also making certain changes to the plan principally to comply with Internal Revenue Code Sections 409A and 162(m). A complete copy of the Restated Annual Plan is attached to this proxy statement as Appendix A.</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2008 Amendments</w:t>
      </w:r>
    </w:p>
    <w:p>
      <w:pPr>
        <w:spacing w:after="0" w:line="125"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We have specified in the Restated Annual Plan that any payments under the plan must be made within two and one-half months following the end of the fiscal year. Payment will only be made if the performance goals for the performance period are met.</w:t>
      </w:r>
    </w:p>
    <w:p>
      <w:pPr>
        <w:spacing w:after="0" w:line="52"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We have added to the performance goals the attainment of certain target levels of, or percentage increase in, division profit. This is the only change to the performance goals since shareholders approved the performance goals in 2003.</w:t>
      </w:r>
    </w:p>
    <w:p>
      <w:pPr>
        <w:spacing w:after="0" w:line="38"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We have eliminated the provisions permitting interim payments to participants and eliminated the provisions relating to participants’ deferral of awards under the plan.</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Material Features of the Restated Annual Plan</w:t>
      </w:r>
    </w:p>
    <w:p>
      <w:pPr>
        <w:spacing w:after="0" w:line="125" w:lineRule="exact"/>
        <w:rPr>
          <w:sz w:val="20"/>
          <w:szCs w:val="20"/>
          <w:color w:val="auto"/>
        </w:rPr>
      </w:pPr>
    </w:p>
    <w:p>
      <w:pPr>
        <w:jc w:val="both"/>
        <w:ind w:right="600" w:firstLine="357"/>
        <w:spacing w:after="0" w:line="267" w:lineRule="auto"/>
        <w:rPr>
          <w:sz w:val="20"/>
          <w:szCs w:val="20"/>
          <w:color w:val="auto"/>
        </w:rPr>
      </w:pPr>
      <w:r>
        <w:rPr>
          <w:rFonts w:ascii="Arial" w:cs="Arial" w:eastAsia="Arial" w:hAnsi="Arial"/>
          <w:sz w:val="19"/>
          <w:szCs w:val="19"/>
          <w:color w:val="auto"/>
        </w:rPr>
        <w:t>The following is only a summary of the principal features of the Restated Annual Plan. This summary is qualified in its entirety by the complete text of the plan. Capitalized terms used in this summary but that are not defined here have the meanings contained in the Restated Annual Plan.</w:t>
      </w:r>
    </w:p>
    <w:p>
      <w:pPr>
        <w:spacing w:after="0" w:line="62" w:lineRule="exact"/>
        <w:rPr>
          <w:sz w:val="20"/>
          <w:szCs w:val="20"/>
          <w:color w:val="auto"/>
        </w:rPr>
      </w:pPr>
    </w:p>
    <w:p>
      <w:pPr>
        <w:ind w:right="20" w:firstLine="357"/>
        <w:spacing w:after="0" w:line="279" w:lineRule="auto"/>
        <w:rPr>
          <w:sz w:val="20"/>
          <w:szCs w:val="20"/>
          <w:color w:val="auto"/>
        </w:rPr>
      </w:pPr>
      <w:r>
        <w:rPr>
          <w:rFonts w:ascii="Arial" w:cs="Arial" w:eastAsia="Arial" w:hAnsi="Arial"/>
          <w:sz w:val="18"/>
          <w:szCs w:val="18"/>
          <w:b w:val="1"/>
          <w:bCs w:val="1"/>
          <w:color w:val="auto"/>
        </w:rPr>
        <w:t xml:space="preserve">Purpose of the Plan. </w:t>
      </w:r>
      <w:r>
        <w:rPr>
          <w:rFonts w:ascii="Arial" w:cs="Arial" w:eastAsia="Arial" w:hAnsi="Arial"/>
          <w:sz w:val="18"/>
          <w:szCs w:val="18"/>
          <w:color w:val="auto"/>
        </w:rPr>
        <w:t>The purposes of the Restated Annual Plan are to reinforce corporate, organizational, and business development goals; to</w:t>
      </w:r>
      <w:r>
        <w:rPr>
          <w:rFonts w:ascii="Arial" w:cs="Arial" w:eastAsia="Arial" w:hAnsi="Arial"/>
          <w:sz w:val="18"/>
          <w:szCs w:val="18"/>
          <w:b w:val="1"/>
          <w:bCs w:val="1"/>
          <w:color w:val="auto"/>
        </w:rPr>
        <w:t xml:space="preserve"> </w:t>
      </w:r>
      <w:r>
        <w:rPr>
          <w:rFonts w:ascii="Arial" w:cs="Arial" w:eastAsia="Arial" w:hAnsi="Arial"/>
          <w:sz w:val="18"/>
          <w:szCs w:val="18"/>
          <w:color w:val="auto"/>
        </w:rPr>
        <w:t>promote the achievement of year-to-year financial and other business objectives; to reward the performance of individual officers and other employees in fulfilling their personal responsibilities for year-to-year achievements; and to serve as a qualified performance-based compensation program under Section 162(m) of the Internal Revenue Code with regard to the Company’s Chief Executive Officer and the four other most highly compensated executive officers employed at the end of the fiscal year (“Covered Employees”).</w:t>
      </w:r>
    </w:p>
    <w:p>
      <w:pPr>
        <w:spacing w:after="0" w:line="53" w:lineRule="exact"/>
        <w:rPr>
          <w:sz w:val="20"/>
          <w:szCs w:val="20"/>
          <w:color w:val="auto"/>
        </w:rPr>
      </w:pPr>
    </w:p>
    <w:p>
      <w:pPr>
        <w:ind w:firstLine="357"/>
        <w:spacing w:after="0" w:line="283" w:lineRule="auto"/>
        <w:rPr>
          <w:sz w:val="20"/>
          <w:szCs w:val="20"/>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Restated Annual Plan is administered by the Compensation and Management Resources Committee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Each member of this committee is an “outside director” under Section 162(m) of the Internal Revenue Code. The Committee has the authority to grant awards, determine performance criteria, certify attainment of performance goals, construe and interpret the Restated Annual Plan and make all other determinations deemed necessary or advisable for the administration of this plan.</w:t>
      </w:r>
    </w:p>
    <w:p>
      <w:pPr>
        <w:spacing w:after="0" w:line="50" w:lineRule="exact"/>
        <w:rPr>
          <w:sz w:val="20"/>
          <w:szCs w:val="20"/>
          <w:color w:val="auto"/>
        </w:rPr>
      </w:pPr>
    </w:p>
    <w:p>
      <w:pPr>
        <w:ind w:right="80" w:firstLine="357"/>
        <w:spacing w:after="0" w:line="317" w:lineRule="auto"/>
        <w:rPr>
          <w:sz w:val="20"/>
          <w:szCs w:val="20"/>
          <w:color w:val="auto"/>
        </w:rPr>
      </w:pPr>
      <w:r>
        <w:rPr>
          <w:rFonts w:ascii="Arial" w:cs="Arial" w:eastAsia="Arial" w:hAnsi="Arial"/>
          <w:sz w:val="17"/>
          <w:szCs w:val="17"/>
          <w:b w:val="1"/>
          <w:bCs w:val="1"/>
          <w:color w:val="auto"/>
        </w:rPr>
        <w:t xml:space="preserve">Participation. </w:t>
      </w:r>
      <w:r>
        <w:rPr>
          <w:rFonts w:ascii="Arial" w:cs="Arial" w:eastAsia="Arial" w:hAnsi="Arial"/>
          <w:sz w:val="17"/>
          <w:szCs w:val="17"/>
          <w:color w:val="auto"/>
        </w:rPr>
        <w:t>Participation in the Restated Annual Plan is limited to those officers and other key employees of the Company, its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and divisions, as selected by the Compensation Committee. In determining the persons to whom awards shall be granted, the Compensation Committee takes into account such factors as it considers appropriate to accomplish the purposes of the Restated Annual Plan.</w:t>
      </w:r>
    </w:p>
    <w:p>
      <w:pPr>
        <w:spacing w:after="0" w:line="22" w:lineRule="exact"/>
        <w:rPr>
          <w:sz w:val="20"/>
          <w:szCs w:val="20"/>
          <w:color w:val="auto"/>
        </w:rPr>
      </w:pPr>
    </w:p>
    <w:p>
      <w:pPr>
        <w:ind w:right="320" w:firstLine="357"/>
        <w:spacing w:after="0" w:line="289" w:lineRule="auto"/>
        <w:rPr>
          <w:sz w:val="20"/>
          <w:szCs w:val="20"/>
          <w:color w:val="auto"/>
        </w:rPr>
      </w:pPr>
      <w:r>
        <w:rPr>
          <w:rFonts w:ascii="Arial" w:cs="Arial" w:eastAsia="Arial" w:hAnsi="Arial"/>
          <w:sz w:val="19"/>
          <w:szCs w:val="19"/>
          <w:b w:val="1"/>
          <w:bCs w:val="1"/>
          <w:color w:val="auto"/>
        </w:rPr>
        <w:t xml:space="preserve">Awards. </w:t>
      </w:r>
      <w:r>
        <w:rPr>
          <w:rFonts w:ascii="Arial" w:cs="Arial" w:eastAsia="Arial" w:hAnsi="Arial"/>
          <w:sz w:val="19"/>
          <w:szCs w:val="19"/>
          <w:color w:val="auto"/>
        </w:rPr>
        <w:t>Awards under the Restated Annual Plan relate to a period coinciding with the Company’s fiscal year (the “Performance Period”).</w:t>
      </w:r>
      <w:r>
        <w:rPr>
          <w:rFonts w:ascii="Arial" w:cs="Arial" w:eastAsia="Arial" w:hAnsi="Arial"/>
          <w:sz w:val="19"/>
          <w:szCs w:val="19"/>
          <w:b w:val="1"/>
          <w:bCs w:val="1"/>
          <w:color w:val="auto"/>
        </w:rPr>
        <w:t xml:space="preserve"> </w:t>
      </w:r>
      <w:r>
        <w:rPr>
          <w:rFonts w:ascii="Arial" w:cs="Arial" w:eastAsia="Arial" w:hAnsi="Arial"/>
          <w:sz w:val="19"/>
          <w:szCs w:val="19"/>
          <w:color w:val="auto"/>
        </w:rPr>
        <w:t>The individual target award for each participant is expressed as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4" w:name="page65"/>
    <w:bookmarkEnd w:id="64"/>
    <w:p>
      <w:pPr>
        <w:ind w:right="140"/>
        <w:spacing w:after="0" w:line="344" w:lineRule="auto"/>
        <w:rPr>
          <w:sz w:val="20"/>
          <w:szCs w:val="20"/>
          <w:color w:val="auto"/>
        </w:rPr>
      </w:pPr>
      <w:r>
        <w:rPr>
          <w:rFonts w:ascii="Arial" w:cs="Arial" w:eastAsia="Arial" w:hAnsi="Arial"/>
          <w:sz w:val="17"/>
          <w:szCs w:val="17"/>
          <w:color w:val="auto"/>
        </w:rPr>
        <w:t>a percentage of Annual Base Salary. Payment for the awards is made only if the performance goals for the Performance Period are achieved and certified by the Compensation Committee and generally only if the participant remains employed by the Company through the Payment Date.</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 xml:space="preserve">Limit on Payment. </w:t>
      </w:r>
      <w:r>
        <w:rPr>
          <w:rFonts w:ascii="Arial" w:cs="Arial" w:eastAsia="Arial" w:hAnsi="Arial"/>
          <w:sz w:val="19"/>
          <w:szCs w:val="19"/>
          <w:color w:val="auto"/>
        </w:rPr>
        <w:t>Payment to a Covered Employee may not exceed $3 million for any fiscal year.</w:t>
      </w:r>
    </w:p>
    <w:p>
      <w:pPr>
        <w:spacing w:after="0" w:line="119" w:lineRule="exact"/>
        <w:rPr>
          <w:sz w:val="20"/>
          <w:szCs w:val="20"/>
          <w:color w:val="auto"/>
        </w:rPr>
      </w:pPr>
    </w:p>
    <w:p>
      <w:pPr>
        <w:ind w:right="80" w:firstLine="357"/>
        <w:spacing w:after="0" w:line="279" w:lineRule="auto"/>
        <w:rPr>
          <w:sz w:val="20"/>
          <w:szCs w:val="20"/>
          <w:color w:val="auto"/>
        </w:rPr>
      </w:pPr>
      <w:r>
        <w:rPr>
          <w:rFonts w:ascii="Arial" w:cs="Arial" w:eastAsia="Arial" w:hAnsi="Arial"/>
          <w:sz w:val="18"/>
          <w:szCs w:val="18"/>
          <w:b w:val="1"/>
          <w:bCs w:val="1"/>
          <w:color w:val="auto"/>
        </w:rPr>
        <w:t xml:space="preserve">Performance Goals. </w:t>
      </w:r>
      <w:r>
        <w:rPr>
          <w:rFonts w:ascii="Arial" w:cs="Arial" w:eastAsia="Arial" w:hAnsi="Arial"/>
          <w:sz w:val="18"/>
          <w:szCs w:val="18"/>
          <w:color w:val="auto"/>
        </w:rPr>
        <w:t>The Restated Annual Plan provides that the Compensation Committee generally has the authority to determine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goals that will be in effect for a Performance Period. The Committee also has the authority to incorporate provisions in the performance goals allowing for adjustments in recognition of unusual or non-recurring events affecting the Company or our financial statements or in response to changes in applicable laws, regulations or accounting principles. The committee has the authority to determine the performance goals for the Covered Employees solely to the extent permitted by Section 162(m) of the Internal Revenue Code.</w:t>
      </w:r>
    </w:p>
    <w:p>
      <w:pPr>
        <w:spacing w:after="0" w:line="59" w:lineRule="exact"/>
        <w:rPr>
          <w:sz w:val="20"/>
          <w:szCs w:val="20"/>
          <w:color w:val="auto"/>
        </w:rPr>
      </w:pPr>
    </w:p>
    <w:p>
      <w:pPr>
        <w:ind w:right="660" w:firstLine="357"/>
        <w:spacing w:after="0" w:line="283" w:lineRule="auto"/>
        <w:rPr>
          <w:sz w:val="20"/>
          <w:szCs w:val="20"/>
          <w:color w:val="auto"/>
        </w:rPr>
      </w:pPr>
      <w:r>
        <w:rPr>
          <w:rFonts w:ascii="Arial" w:cs="Arial" w:eastAsia="Arial" w:hAnsi="Arial"/>
          <w:sz w:val="19"/>
          <w:szCs w:val="19"/>
          <w:color w:val="auto"/>
        </w:rPr>
        <w:t>The performance goals for the Covered Employees will be determined by the Compensation Committee based on one or more of the following criteria:</w:t>
      </w:r>
    </w:p>
    <w:p>
      <w:pPr>
        <w:spacing w:after="0" w:line="106" w:lineRule="exact"/>
        <w:rPr>
          <w:sz w:val="20"/>
          <w:szCs w:val="20"/>
          <w:color w:val="auto"/>
        </w:rPr>
      </w:pPr>
    </w:p>
    <w:p>
      <w:pPr>
        <w:ind w:left="540" w:hanging="15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attaining certain target levels of, or percentage increase in,</w:t>
      </w:r>
    </w:p>
    <w:p>
      <w:pPr>
        <w:spacing w:after="0" w:line="173" w:lineRule="exact"/>
        <w:rPr>
          <w:rFonts w:ascii="Arial" w:cs="Arial" w:eastAsia="Arial" w:hAnsi="Arial"/>
          <w:sz w:val="19"/>
          <w:szCs w:val="19"/>
          <w:color w:val="auto"/>
        </w:rPr>
      </w:pPr>
    </w:p>
    <w:p>
      <w:pPr>
        <w:ind w:left="980" w:hanging="309"/>
        <w:spacing w:after="0"/>
        <w:tabs>
          <w:tab w:leader="none" w:pos="980" w:val="left"/>
        </w:tabs>
        <w:numPr>
          <w:ilvl w:val="1"/>
          <w:numId w:val="60"/>
        </w:numPr>
        <w:rPr>
          <w:rFonts w:ascii="Arial" w:cs="Arial" w:eastAsia="Arial" w:hAnsi="Arial"/>
          <w:sz w:val="19"/>
          <w:szCs w:val="19"/>
          <w:color w:val="auto"/>
        </w:rPr>
      </w:pPr>
      <w:r>
        <w:rPr>
          <w:rFonts w:ascii="Arial" w:cs="Arial" w:eastAsia="Arial" w:hAnsi="Arial"/>
          <w:sz w:val="19"/>
          <w:szCs w:val="19"/>
          <w:color w:val="auto"/>
        </w:rPr>
        <w:t>pre-tax profit;</w:t>
      </w:r>
    </w:p>
    <w:p>
      <w:pPr>
        <w:spacing w:after="0" w:line="146" w:lineRule="exact"/>
        <w:rPr>
          <w:rFonts w:ascii="Arial" w:cs="Arial" w:eastAsia="Arial" w:hAnsi="Arial"/>
          <w:sz w:val="19"/>
          <w:szCs w:val="19"/>
          <w:color w:val="auto"/>
        </w:rPr>
      </w:pPr>
    </w:p>
    <w:p>
      <w:pPr>
        <w:ind w:left="980" w:hanging="320"/>
        <w:spacing w:after="0"/>
        <w:tabs>
          <w:tab w:leader="none" w:pos="980" w:val="left"/>
        </w:tabs>
        <w:numPr>
          <w:ilvl w:val="1"/>
          <w:numId w:val="60"/>
        </w:numPr>
        <w:rPr>
          <w:rFonts w:ascii="Arial" w:cs="Arial" w:eastAsia="Arial" w:hAnsi="Arial"/>
          <w:sz w:val="19"/>
          <w:szCs w:val="19"/>
          <w:color w:val="auto"/>
        </w:rPr>
      </w:pPr>
      <w:r>
        <w:rPr>
          <w:rFonts w:ascii="Arial" w:cs="Arial" w:eastAsia="Arial" w:hAnsi="Arial"/>
          <w:sz w:val="19"/>
          <w:szCs w:val="19"/>
          <w:color w:val="auto"/>
        </w:rPr>
        <w:t>division profit;</w:t>
      </w:r>
    </w:p>
    <w:p>
      <w:pPr>
        <w:spacing w:after="0" w:line="132" w:lineRule="exact"/>
        <w:rPr>
          <w:rFonts w:ascii="Arial" w:cs="Arial" w:eastAsia="Arial" w:hAnsi="Arial"/>
          <w:sz w:val="19"/>
          <w:szCs w:val="19"/>
          <w:color w:val="auto"/>
        </w:rPr>
      </w:pPr>
    </w:p>
    <w:p>
      <w:pPr>
        <w:ind w:left="980" w:hanging="309"/>
        <w:spacing w:after="0"/>
        <w:tabs>
          <w:tab w:leader="none" w:pos="980" w:val="left"/>
        </w:tabs>
        <w:numPr>
          <w:ilvl w:val="1"/>
          <w:numId w:val="60"/>
        </w:numPr>
        <w:rPr>
          <w:rFonts w:ascii="Arial" w:cs="Arial" w:eastAsia="Arial" w:hAnsi="Arial"/>
          <w:sz w:val="19"/>
          <w:szCs w:val="19"/>
          <w:color w:val="auto"/>
        </w:rPr>
      </w:pPr>
      <w:r>
        <w:rPr>
          <w:rFonts w:ascii="Arial" w:cs="Arial" w:eastAsia="Arial" w:hAnsi="Arial"/>
          <w:sz w:val="19"/>
          <w:szCs w:val="19"/>
          <w:color w:val="auto"/>
        </w:rPr>
        <w:t>after-tax profits of Foot Locker (or a subsidiary, division, or other operational unit of Foot Locker);</w:t>
      </w:r>
    </w:p>
    <w:p>
      <w:pPr>
        <w:spacing w:after="0" w:line="132" w:lineRule="exact"/>
        <w:rPr>
          <w:rFonts w:ascii="Arial" w:cs="Arial" w:eastAsia="Arial" w:hAnsi="Arial"/>
          <w:sz w:val="19"/>
          <w:szCs w:val="19"/>
          <w:color w:val="auto"/>
        </w:rPr>
      </w:pPr>
    </w:p>
    <w:p>
      <w:pPr>
        <w:ind w:left="980" w:right="580" w:hanging="320"/>
        <w:spacing w:after="0" w:line="283" w:lineRule="auto"/>
        <w:tabs>
          <w:tab w:leader="none" w:pos="980" w:val="left"/>
        </w:tabs>
        <w:numPr>
          <w:ilvl w:val="1"/>
          <w:numId w:val="60"/>
        </w:numPr>
        <w:rPr>
          <w:rFonts w:ascii="Arial" w:cs="Arial" w:eastAsia="Arial" w:hAnsi="Arial"/>
          <w:sz w:val="19"/>
          <w:szCs w:val="19"/>
          <w:color w:val="auto"/>
        </w:rPr>
      </w:pPr>
      <w:r>
        <w:rPr>
          <w:rFonts w:ascii="Arial" w:cs="Arial" w:eastAsia="Arial" w:hAnsi="Arial"/>
          <w:sz w:val="19"/>
          <w:szCs w:val="19"/>
          <w:color w:val="auto"/>
        </w:rPr>
        <w:t>after-tax or pre-tax return on shareholders’ equity of Foot Locker (or any subsidiary, division or other operational unit of Foot Locker);</w:t>
      </w:r>
    </w:p>
    <w:p>
      <w:pPr>
        <w:spacing w:after="0" w:line="214" w:lineRule="exact"/>
        <w:rPr>
          <w:rFonts w:ascii="Arial" w:cs="Arial" w:eastAsia="Arial" w:hAnsi="Arial"/>
          <w:sz w:val="19"/>
          <w:szCs w:val="19"/>
          <w:color w:val="auto"/>
        </w:rPr>
      </w:pPr>
    </w:p>
    <w:p>
      <w:pPr>
        <w:ind w:left="540" w:hanging="15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attaining certain target levels of, or a specified increase in,</w:t>
      </w:r>
    </w:p>
    <w:p>
      <w:pPr>
        <w:spacing w:after="0" w:line="173" w:lineRule="exact"/>
        <w:rPr>
          <w:rFonts w:ascii="Arial" w:cs="Arial" w:eastAsia="Arial" w:hAnsi="Arial"/>
          <w:sz w:val="19"/>
          <w:szCs w:val="19"/>
          <w:color w:val="auto"/>
        </w:rPr>
      </w:pPr>
    </w:p>
    <w:p>
      <w:pPr>
        <w:ind w:left="980" w:hanging="309"/>
        <w:spacing w:after="0"/>
        <w:tabs>
          <w:tab w:leader="none" w:pos="980" w:val="left"/>
        </w:tabs>
        <w:numPr>
          <w:ilvl w:val="1"/>
          <w:numId w:val="60"/>
        </w:numPr>
        <w:rPr>
          <w:rFonts w:ascii="Arial" w:cs="Arial" w:eastAsia="Arial" w:hAnsi="Arial"/>
          <w:sz w:val="19"/>
          <w:szCs w:val="19"/>
          <w:color w:val="auto"/>
        </w:rPr>
      </w:pPr>
      <w:r>
        <w:rPr>
          <w:rFonts w:ascii="Arial" w:cs="Arial" w:eastAsia="Arial" w:hAnsi="Arial"/>
          <w:sz w:val="19"/>
          <w:szCs w:val="19"/>
          <w:color w:val="auto"/>
        </w:rPr>
        <w:t>operational cash flow of Foot Locker (or a subsidiary, division, or other operational unit of Foot Locker);</w:t>
      </w:r>
    </w:p>
    <w:p>
      <w:pPr>
        <w:spacing w:after="0" w:line="146" w:lineRule="exact"/>
        <w:rPr>
          <w:rFonts w:ascii="Arial" w:cs="Arial" w:eastAsia="Arial" w:hAnsi="Arial"/>
          <w:sz w:val="19"/>
          <w:szCs w:val="19"/>
          <w:color w:val="auto"/>
        </w:rPr>
      </w:pPr>
    </w:p>
    <w:p>
      <w:pPr>
        <w:ind w:left="980" w:hanging="320"/>
        <w:spacing w:after="0"/>
        <w:tabs>
          <w:tab w:leader="none" w:pos="980" w:val="left"/>
        </w:tabs>
        <w:numPr>
          <w:ilvl w:val="1"/>
          <w:numId w:val="60"/>
        </w:numPr>
        <w:rPr>
          <w:rFonts w:ascii="Arial" w:cs="Arial" w:eastAsia="Arial" w:hAnsi="Arial"/>
          <w:sz w:val="19"/>
          <w:szCs w:val="19"/>
          <w:color w:val="auto"/>
        </w:rPr>
      </w:pPr>
      <w:r>
        <w:rPr>
          <w:rFonts w:ascii="Arial" w:cs="Arial" w:eastAsia="Arial" w:hAnsi="Arial"/>
          <w:sz w:val="19"/>
          <w:szCs w:val="19"/>
          <w:color w:val="auto"/>
        </w:rPr>
        <w:t>return on invested capital or return on investment;</w:t>
      </w:r>
    </w:p>
    <w:p>
      <w:pPr>
        <w:spacing w:after="0" w:line="281" w:lineRule="exact"/>
        <w:rPr>
          <w:rFonts w:ascii="Arial" w:cs="Arial" w:eastAsia="Arial" w:hAnsi="Arial"/>
          <w:sz w:val="19"/>
          <w:szCs w:val="19"/>
          <w:color w:val="auto"/>
        </w:rPr>
      </w:pPr>
    </w:p>
    <w:p>
      <w:pPr>
        <w:ind w:left="540" w:hanging="158"/>
        <w:spacing w:after="0" w:line="289"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achieving a certain level of, a reduction of, or other specified objectives with regard to limiting the level of increase in, Foot Locker’s bank debt, other long-term or short-term public or private debt, or other similar financial obligations of Foot Locker, if any, which may be calculated net of any cash balances and/or other offsets and adjustments as may be established by the Committee;</w:t>
      </w:r>
    </w:p>
    <w:p>
      <w:pPr>
        <w:spacing w:after="0" w:line="62" w:lineRule="exact"/>
        <w:rPr>
          <w:rFonts w:ascii="Arial" w:cs="Arial" w:eastAsia="Arial" w:hAnsi="Arial"/>
          <w:sz w:val="18"/>
          <w:szCs w:val="18"/>
          <w:color w:val="auto"/>
        </w:rPr>
      </w:pPr>
    </w:p>
    <w:p>
      <w:pPr>
        <w:ind w:left="540" w:right="540" w:hanging="158"/>
        <w:spacing w:after="0" w:line="283"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attaining a specified percentage increase in earnings per share or earnings per share from continuing operations of Foot Locker (or a subsidiary, division or other operational unit of Foot Locker);</w:t>
      </w:r>
    </w:p>
    <w:p>
      <w:pPr>
        <w:spacing w:after="0" w:line="65" w:lineRule="exact"/>
        <w:rPr>
          <w:rFonts w:ascii="Arial" w:cs="Arial" w:eastAsia="Arial" w:hAnsi="Arial"/>
          <w:sz w:val="19"/>
          <w:szCs w:val="19"/>
          <w:color w:val="auto"/>
        </w:rPr>
      </w:pPr>
    </w:p>
    <w:p>
      <w:pPr>
        <w:ind w:left="540" w:hanging="158"/>
        <w:spacing w:after="0" w:line="283"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attaining certain target levels of, or a specified percentage increase in, revenues, net income, or earnings before interest, taxes, depreciation and/or amortization, of Foot Locker (or a subsidiary, division, or other operational unit of Foot Locker); and</w:t>
      </w:r>
    </w:p>
    <w:p>
      <w:pPr>
        <w:spacing w:after="0" w:line="65" w:lineRule="exact"/>
        <w:rPr>
          <w:rFonts w:ascii="Arial" w:cs="Arial" w:eastAsia="Arial" w:hAnsi="Arial"/>
          <w:sz w:val="19"/>
          <w:szCs w:val="19"/>
          <w:color w:val="auto"/>
        </w:rPr>
      </w:pPr>
    </w:p>
    <w:p>
      <w:pPr>
        <w:ind w:left="540" w:hanging="158"/>
        <w:spacing w:after="0" w:line="283" w:lineRule="auto"/>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attaining a certain target level of, or reduction in, selling, general and administrative expense as a percentage of revenue of Foot Locker (or any subsidiary, division or other operational unit of Foot Locker).</w:t>
      </w:r>
    </w:p>
    <w:p>
      <w:pPr>
        <w:spacing w:after="0" w:line="154" w:lineRule="exact"/>
        <w:rPr>
          <w:sz w:val="20"/>
          <w:szCs w:val="20"/>
          <w:color w:val="auto"/>
        </w:rPr>
      </w:pPr>
    </w:p>
    <w:p>
      <w:pPr>
        <w:jc w:val="both"/>
        <w:ind w:right="40" w:firstLine="357"/>
        <w:spacing w:after="0" w:line="264" w:lineRule="auto"/>
        <w:rPr>
          <w:sz w:val="20"/>
          <w:szCs w:val="20"/>
          <w:color w:val="auto"/>
        </w:rPr>
      </w:pPr>
      <w:r>
        <w:rPr>
          <w:rFonts w:ascii="Arial" w:cs="Arial" w:eastAsia="Arial" w:hAnsi="Arial"/>
          <w:sz w:val="19"/>
          <w:szCs w:val="19"/>
          <w:b w:val="1"/>
          <w:bCs w:val="1"/>
          <w:color w:val="auto"/>
        </w:rPr>
        <w:t xml:space="preserve">Amendment or Termination of Plan. </w:t>
      </w:r>
      <w:r>
        <w:rPr>
          <w:rFonts w:ascii="Arial" w:cs="Arial" w:eastAsia="Arial" w:hAnsi="Arial"/>
          <w:sz w:val="19"/>
          <w:szCs w:val="19"/>
          <w:color w:val="auto"/>
        </w:rPr>
        <w:t>The Committee may amend, suspend, or terminate the Restated Annual Plan, or any part of it, but no</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that requires shareholder approval in order for the plan to continue to comply with Section 162(m) of the Internal Revenue Code will be effective unless it is approved by the required vote of our shareholders. Also, no amendment may adversely affect the rights of any participant without the participant’s consent under any awards previously granted under the plan.</w:t>
      </w:r>
    </w:p>
    <w:p>
      <w:pPr>
        <w:spacing w:after="0" w:line="65" w:lineRule="exact"/>
        <w:rPr>
          <w:sz w:val="20"/>
          <w:szCs w:val="20"/>
          <w:color w:val="auto"/>
        </w:rPr>
      </w:pPr>
    </w:p>
    <w:p>
      <w:pPr>
        <w:ind w:right="60" w:firstLine="357"/>
        <w:spacing w:after="0" w:line="264" w:lineRule="auto"/>
        <w:rPr>
          <w:sz w:val="20"/>
          <w:szCs w:val="20"/>
          <w:color w:val="auto"/>
        </w:rPr>
      </w:pPr>
      <w:r>
        <w:rPr>
          <w:rFonts w:ascii="Arial" w:cs="Arial" w:eastAsia="Arial" w:hAnsi="Arial"/>
          <w:sz w:val="19"/>
          <w:szCs w:val="19"/>
          <w:b w:val="1"/>
          <w:bCs w:val="1"/>
          <w:color w:val="auto"/>
        </w:rPr>
        <w:t xml:space="preserve">Benefits Not Determinable. </w:t>
      </w:r>
      <w:r>
        <w:rPr>
          <w:rFonts w:ascii="Arial" w:cs="Arial" w:eastAsia="Arial" w:hAnsi="Arial"/>
          <w:sz w:val="19"/>
          <w:szCs w:val="19"/>
          <w:color w:val="auto"/>
        </w:rPr>
        <w:t>Because performance goal criteria may vary from year to year, benefits under the Restated Annual Plan are not</w:t>
      </w:r>
      <w:r>
        <w:rPr>
          <w:rFonts w:ascii="Arial" w:cs="Arial" w:eastAsia="Arial" w:hAnsi="Arial"/>
          <w:sz w:val="19"/>
          <w:szCs w:val="19"/>
          <w:b w:val="1"/>
          <w:bCs w:val="1"/>
          <w:color w:val="auto"/>
        </w:rPr>
        <w:t xml:space="preserve"> </w:t>
      </w:r>
      <w:r>
        <w:rPr>
          <w:rFonts w:ascii="Arial" w:cs="Arial" w:eastAsia="Arial" w:hAnsi="Arial"/>
          <w:sz w:val="19"/>
          <w:szCs w:val="19"/>
          <w:color w:val="auto"/>
        </w:rPr>
        <w:t>determinable. The Restated Annual Plan is designed to provide payments only if the performance goals established by the Compensation Committee have been met and the attainment of the goals has been certified by the Committee. The Company did not make any payments under this plan for the 2007 fiscal year because the performance goals were not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5187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518795"/>
                    </a:xfrm>
                    <a:prstGeom prst="rect">
                      <a:avLst/>
                    </a:prstGeom>
                    <a:noFill/>
                  </pic:spPr>
                </pic:pic>
              </a:graphicData>
            </a:graphic>
          </wp:anchor>
        </w:drawing>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The Board of Directors recommends a vote FOR Proposal 3.</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6"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9"/>
          <w:szCs w:val="19"/>
          <w:b w:val="1"/>
          <w:bCs w:val="1"/>
          <w:color w:val="auto"/>
        </w:rPr>
        <w:t>DEADLINES AND PROCEDURES FOR NOMINATIONS AND</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SHAREHOLDER PROPOSALS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Deadlines</w:t>
      </w:r>
    </w:p>
    <w:p>
      <w:pPr>
        <w:spacing w:after="0" w:line="125" w:lineRule="exact"/>
        <w:rPr>
          <w:sz w:val="20"/>
          <w:szCs w:val="20"/>
          <w:color w:val="auto"/>
        </w:rPr>
      </w:pPr>
    </w:p>
    <w:p>
      <w:pPr>
        <w:jc w:val="both"/>
        <w:ind w:right="60" w:firstLine="357"/>
        <w:spacing w:after="0" w:line="267" w:lineRule="auto"/>
        <w:rPr>
          <w:sz w:val="20"/>
          <w:szCs w:val="20"/>
          <w:color w:val="auto"/>
        </w:rPr>
      </w:pPr>
      <w:r>
        <w:rPr>
          <w:rFonts w:ascii="Arial" w:cs="Arial" w:eastAsia="Arial" w:hAnsi="Arial"/>
          <w:sz w:val="19"/>
          <w:szCs w:val="19"/>
          <w:color w:val="auto"/>
        </w:rPr>
        <w:t>Under SEC rules, if a shareholder would like us to include a proposal in our proxy statement and form of proxy for the 2009 Annual Meeting of Shareholders, our Corporate Secretary must receive the proposal at our corporate headquarters by December 12, 2008 in order to be considered for inclusion in the 2009 proxy statement.</w:t>
      </w:r>
    </w:p>
    <w:p>
      <w:pPr>
        <w:spacing w:after="0" w:line="54"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Under our By-laws, shareholders must follow certain procedures to nominate a person for election to the Board of Directors or to introduce an item of business at an annual meeting. Under these procedures, we must receive notice of a shareholder’s intention to introduce a nomination or proposed item of business for an annual meeting not less than 90 days nor more than 120 days before the first anniversary of the prior year’s annual meeting. For 2009, we must receive this notice no earlier than January 21, 2009 and no later than February 20, 2009, assuming that our 2009 annual meeting is held on schedule. However, if we hold the annual meeting on a date that is not within 30 days before or after the first anniversary of the prior year’s annual meeting, then we must receive the notice no later than ten days after the earlier of the date we first provide notice of the meeting to shareholders or announce it publicly.</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Procedures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By-laws provide that shareholders who wish to submit a nomination for director must deliver a notice to the Secretary of the Company at</w:t>
      </w:r>
    </w:p>
    <w:p>
      <w:pPr>
        <w:spacing w:after="0" w:line="50" w:lineRule="exact"/>
        <w:rPr>
          <w:sz w:val="20"/>
          <w:szCs w:val="20"/>
          <w:color w:val="auto"/>
        </w:rPr>
      </w:pPr>
    </w:p>
    <w:p>
      <w:pPr>
        <w:jc w:val="both"/>
        <w:ind w:right="340"/>
        <w:spacing w:after="0" w:line="258" w:lineRule="auto"/>
        <w:rPr>
          <w:sz w:val="20"/>
          <w:szCs w:val="20"/>
          <w:color w:val="auto"/>
        </w:rPr>
      </w:pPr>
      <w:r>
        <w:rPr>
          <w:rFonts w:ascii="Arial" w:cs="Arial" w:eastAsia="Arial" w:hAnsi="Arial"/>
          <w:sz w:val="19"/>
          <w:szCs w:val="19"/>
          <w:color w:val="auto"/>
        </w:rPr>
        <w:t>112 West 34th Street, New York, New York 10120 not less than 90 days nor more than 120 days before the first anniversary of the prior year’s annual meeting. We publish these dates each year in our proxy statement. For the 2009 annual meeting, these dates are set out in the preceding paragraph. The notice must contain the following information regarding the proposed nominee:</w:t>
      </w:r>
    </w:p>
    <w:p>
      <w:pPr>
        <w:spacing w:after="0" w:line="130" w:lineRule="exact"/>
        <w:rPr>
          <w:sz w:val="20"/>
          <w:szCs w:val="20"/>
          <w:color w:val="auto"/>
        </w:rPr>
      </w:pPr>
    </w:p>
    <w:p>
      <w:pPr>
        <w:ind w:left="540" w:hanging="15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his or her name, age, business and residence address,</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his or her principal occupation or employment,</w:t>
      </w:r>
    </w:p>
    <w:p>
      <w:pPr>
        <w:spacing w:after="0" w:line="132" w:lineRule="exact"/>
        <w:rPr>
          <w:rFonts w:ascii="Arial" w:cs="Arial" w:eastAsia="Arial" w:hAnsi="Arial"/>
          <w:sz w:val="19"/>
          <w:szCs w:val="19"/>
          <w:color w:val="auto"/>
        </w:rPr>
      </w:pPr>
    </w:p>
    <w:p>
      <w:pPr>
        <w:ind w:left="540" w:hanging="15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number of shares of the Company’s Common Stock he or she beneficially owns,</w:t>
      </w:r>
    </w:p>
    <w:p>
      <w:pPr>
        <w:spacing w:after="0" w:line="132" w:lineRule="exact"/>
        <w:rPr>
          <w:rFonts w:ascii="Arial" w:cs="Arial" w:eastAsia="Arial" w:hAnsi="Arial"/>
          <w:sz w:val="19"/>
          <w:szCs w:val="19"/>
          <w:color w:val="auto"/>
        </w:rPr>
      </w:pPr>
    </w:p>
    <w:p>
      <w:pPr>
        <w:ind w:left="540" w:right="400" w:hanging="15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any other information that is required to be disclosed under the Exchange Act and rules and regulations of the Securities and Exchange Commission and The New York Stock Exchange,</w:t>
      </w:r>
    </w:p>
    <w:p>
      <w:pPr>
        <w:spacing w:after="0" w:line="65" w:lineRule="exact"/>
        <w:rPr>
          <w:rFonts w:ascii="Arial" w:cs="Arial" w:eastAsia="Arial" w:hAnsi="Arial"/>
          <w:sz w:val="19"/>
          <w:szCs w:val="19"/>
          <w:color w:val="auto"/>
        </w:rPr>
      </w:pPr>
    </w:p>
    <w:p>
      <w:pPr>
        <w:ind w:left="540" w:hanging="15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executed consent of such person to serve if elected, and</w:t>
      </w:r>
    </w:p>
    <w:p>
      <w:pPr>
        <w:spacing w:after="0" w:line="132" w:lineRule="exact"/>
        <w:rPr>
          <w:rFonts w:ascii="Arial" w:cs="Arial" w:eastAsia="Arial" w:hAnsi="Arial"/>
          <w:sz w:val="19"/>
          <w:szCs w:val="19"/>
          <w:color w:val="auto"/>
        </w:rPr>
      </w:pPr>
    </w:p>
    <w:p>
      <w:pPr>
        <w:ind w:left="540" w:right="100" w:hanging="15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an undertaking by the individual to furnish us with any information we may request in order to determine his or her eligibility to serve as a director.</w:t>
      </w:r>
    </w:p>
    <w:p>
      <w:pPr>
        <w:spacing w:after="0" w:line="160"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In addition, the shareholder who is making the nomination must include in the notice his or her name, address, and the number of shares of the Company’s Common Stock that he or she beneficially owns.</w:t>
      </w:r>
    </w:p>
    <w:p>
      <w:pPr>
        <w:spacing w:after="0" w:line="5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Notice of a proposed item of business must include a description of and the reasons for bringing the proposed business to the meeting, any material interest of the shareholder in the business, and certain other information about the shareholder.</w:t>
      </w:r>
    </w:p>
    <w:p>
      <w:pPr>
        <w:spacing w:after="0" w:line="11"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By Order of the Board of Directors</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color w:val="auto"/>
        </w:rPr>
        <w:t>G</w:t>
      </w:r>
      <w:r>
        <w:rPr>
          <w:rFonts w:ascii="Arial" w:cs="Arial" w:eastAsia="Arial" w:hAnsi="Arial"/>
          <w:sz w:val="14"/>
          <w:szCs w:val="14"/>
          <w:color w:val="auto"/>
        </w:rPr>
        <w:t>ARY</w:t>
      </w:r>
      <w:r>
        <w:rPr>
          <w:rFonts w:ascii="Arial" w:cs="Arial" w:eastAsia="Arial" w:hAnsi="Arial"/>
          <w:sz w:val="19"/>
          <w:szCs w:val="19"/>
          <w:color w:val="auto"/>
        </w:rPr>
        <w:t xml:space="preserve"> M. B</w:t>
      </w:r>
      <w:r>
        <w:rPr>
          <w:rFonts w:ascii="Arial" w:cs="Arial" w:eastAsia="Arial" w:hAnsi="Arial"/>
          <w:sz w:val="14"/>
          <w:szCs w:val="14"/>
          <w:color w:val="auto"/>
        </w:rPr>
        <w:t>AHLER</w:t>
      </w:r>
    </w:p>
    <w:p>
      <w:pPr>
        <w:spacing w:after="0" w:line="52" w:lineRule="exact"/>
        <w:rPr>
          <w:sz w:val="20"/>
          <w:szCs w:val="20"/>
          <w:color w:val="auto"/>
        </w:rPr>
      </w:pPr>
    </w:p>
    <w:p>
      <w:pPr>
        <w:ind w:left="5880"/>
        <w:spacing w:after="0"/>
        <w:rPr>
          <w:sz w:val="20"/>
          <w:szCs w:val="20"/>
          <w:color w:val="auto"/>
        </w:rPr>
      </w:pPr>
      <w:r>
        <w:rPr>
          <w:rFonts w:ascii="Arial" w:cs="Arial" w:eastAsia="Arial" w:hAnsi="Arial"/>
          <w:sz w:val="19"/>
          <w:szCs w:val="19"/>
          <w:i w:val="1"/>
          <w:iCs w:val="1"/>
          <w:color w:val="auto"/>
        </w:rPr>
        <w:t>Secretary</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April 11, 2008</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0" w:right="259" w:bottom="1440" w:gutter="0" w:footer="0" w:header="0"/>
        </w:sectPr>
      </w:pPr>
    </w:p>
    <w:bookmarkStart w:id="66" w:name="page67"/>
    <w:bookmarkEnd w:id="66"/>
    <w:p>
      <w:pPr>
        <w:jc w:val="center"/>
        <w:ind w:right="-79"/>
        <w:spacing w:after="0"/>
        <w:rPr>
          <w:sz w:val="20"/>
          <w:szCs w:val="20"/>
          <w:color w:val="auto"/>
        </w:rPr>
      </w:pPr>
      <w:r>
        <w:rPr>
          <w:rFonts w:ascii="Arial" w:cs="Arial" w:eastAsia="Arial" w:hAnsi="Arial"/>
          <w:sz w:val="19"/>
          <w:szCs w:val="19"/>
          <w:b w:val="1"/>
          <w:bCs w:val="1"/>
          <w:color w:val="auto"/>
        </w:rPr>
        <w:t>LOCATION OF THE 2008 ANNUAL MEETING OF SHAREHOLDERS OF</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FOOT LOCKER, INC.</w:t>
      </w:r>
    </w:p>
    <w:p>
      <w:pPr>
        <w:spacing w:after="0" w:line="103"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color w:val="auto"/>
        </w:rPr>
        <w:t>Our corporate headquarters is the site of the 2008 Annual Meeting of Shareholders. We are located at 112 West 34th Street, New York City, New York.</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BY SUBWAY</w:t>
      </w:r>
    </w:p>
    <w:p>
      <w:pPr>
        <w:spacing w:after="0" w:line="125"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auto"/>
        </w:rPr>
        <w:t>Take any of these subway lines: the A, B, C, D, E, F, N, Q, R, V, W or the Number 1, 2, or 3 trains to 34th Street. The A, C, E, 1, 2, and 3 trains stop at 34th Street-Penn Station. The B, D, F, N, Q R, V, and W trains stop at 34th Street–Herald Square. Our building is on the south side of 34th Street between 7th Avenue and Broadway.</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BY CAR OR TAXI</w:t>
      </w:r>
    </w:p>
    <w:p>
      <w:pPr>
        <w:spacing w:after="0" w:line="125" w:lineRule="exact"/>
        <w:rPr>
          <w:sz w:val="20"/>
          <w:szCs w:val="20"/>
          <w:color w:val="auto"/>
        </w:rPr>
      </w:pPr>
    </w:p>
    <w:p>
      <w:pPr>
        <w:spacing w:after="0" w:line="283" w:lineRule="auto"/>
        <w:rPr>
          <w:sz w:val="20"/>
          <w:szCs w:val="20"/>
          <w:color w:val="auto"/>
        </w:rPr>
      </w:pPr>
      <w:r>
        <w:rPr>
          <w:rFonts w:ascii="Arial" w:cs="Arial" w:eastAsia="Arial" w:hAnsi="Arial"/>
          <w:sz w:val="19"/>
          <w:szCs w:val="19"/>
          <w:color w:val="auto"/>
        </w:rPr>
        <w:t>Take the Lincoln Tunnel into New York City, following the signs for 34th Street. Turn left onto West 34th Street. Our building is on the south side of 34th Street between 7th Avenue and Broadway.</w:t>
      </w:r>
    </w:p>
    <w:p>
      <w:pPr>
        <w:spacing w:after="0" w:line="52"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0" w:right="319" w:bottom="1440" w:gutter="0" w:footer="0" w:header="0"/>
        </w:sectPr>
      </w:pPr>
    </w:p>
    <w:bookmarkStart w:id="67" w:name="page68"/>
    <w:bookmarkEnd w:id="67"/>
    <w:p>
      <w:pPr>
        <w:jc w:val="right"/>
        <w:spacing w:after="0"/>
        <w:rPr>
          <w:sz w:val="20"/>
          <w:szCs w:val="20"/>
          <w:color w:val="auto"/>
        </w:rPr>
      </w:pPr>
      <w:r>
        <w:rPr>
          <w:rFonts w:ascii="Arial" w:cs="Arial" w:eastAsia="Arial" w:hAnsi="Arial"/>
          <w:sz w:val="19"/>
          <w:szCs w:val="19"/>
          <w:b w:val="1"/>
          <w:bCs w:val="1"/>
          <w:color w:val="auto"/>
        </w:rPr>
        <w:t>Appendix A</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FOOT LOCKER ANNUAL INCENTIVE COMPENSATION PLAN,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AMENDED AND RESTATED</w:t>
      </w:r>
    </w:p>
    <w:p>
      <w:pPr>
        <w:spacing w:after="0" w:line="103" w:lineRule="exact"/>
        <w:rPr>
          <w:sz w:val="20"/>
          <w:szCs w:val="20"/>
          <w:color w:val="auto"/>
        </w:rPr>
      </w:pPr>
    </w:p>
    <w:p>
      <w:pPr>
        <w:jc w:val="both"/>
        <w:ind w:right="160" w:firstLine="357"/>
        <w:spacing w:after="0" w:line="267" w:lineRule="auto"/>
        <w:rPr>
          <w:sz w:val="20"/>
          <w:szCs w:val="20"/>
          <w:color w:val="auto"/>
        </w:rPr>
      </w:pPr>
      <w:r>
        <w:rPr>
          <w:rFonts w:ascii="Arial" w:cs="Arial" w:eastAsia="Arial" w:hAnsi="Arial"/>
          <w:sz w:val="19"/>
          <w:szCs w:val="19"/>
          <w:color w:val="auto"/>
        </w:rPr>
        <w:t>The Compensation and Management Resources Committee of the Board of Directors of Foot Locker, Inc. (“Foot Locker”) has amended the Foot Locker Annual Incentive Compensation Plan (the “Plan”) as of March 26, 2008, subject to shareholder approval at the 2008 annual meeting of shareholders. The Plan was previously amended and restated effective as of June 25, 2003.</w:t>
      </w:r>
    </w:p>
    <w:p>
      <w:pPr>
        <w:spacing w:after="0" w:line="284" w:lineRule="exact"/>
        <w:rPr>
          <w:sz w:val="20"/>
          <w:szCs w:val="20"/>
          <w:color w:val="auto"/>
        </w:rPr>
      </w:pPr>
    </w:p>
    <w:p>
      <w:pPr>
        <w:ind w:left="200" w:hanging="192"/>
        <w:spacing w:after="0"/>
        <w:tabs>
          <w:tab w:leader="none" w:pos="200"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Purpose of the Plan.</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purposes of the Plan are:</w:t>
      </w:r>
    </w:p>
    <w:p>
      <w:pPr>
        <w:spacing w:after="0" w:line="119" w:lineRule="exact"/>
        <w:rPr>
          <w:sz w:val="20"/>
          <w:szCs w:val="20"/>
          <w:color w:val="auto"/>
        </w:rPr>
      </w:pPr>
    </w:p>
    <w:p>
      <w:pPr>
        <w:ind w:left="980" w:hanging="257"/>
        <w:spacing w:after="0"/>
        <w:tabs>
          <w:tab w:leader="none" w:pos="9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to reinforce corporate organizational and business development goals.</w:t>
      </w:r>
    </w:p>
    <w:p>
      <w:pPr>
        <w:spacing w:after="0" w:line="119" w:lineRule="exact"/>
        <w:rPr>
          <w:rFonts w:ascii="Arial" w:cs="Arial" w:eastAsia="Arial" w:hAnsi="Arial"/>
          <w:sz w:val="19"/>
          <w:szCs w:val="19"/>
          <w:color w:val="auto"/>
        </w:rPr>
      </w:pPr>
    </w:p>
    <w:p>
      <w:pPr>
        <w:ind w:left="360" w:right="80" w:firstLine="363"/>
        <w:spacing w:after="0" w:line="267" w:lineRule="auto"/>
        <w:tabs>
          <w:tab w:leader="none" w:pos="992" w:val="left"/>
        </w:tabs>
        <w:numPr>
          <w:ilvl w:val="0"/>
          <w:numId w:val="63"/>
        </w:numPr>
        <w:rPr>
          <w:rFonts w:ascii="Arial" w:cs="Arial" w:eastAsia="Arial" w:hAnsi="Arial"/>
          <w:sz w:val="19"/>
          <w:szCs w:val="19"/>
          <w:color w:val="auto"/>
        </w:rPr>
      </w:pPr>
      <w:r>
        <w:rPr>
          <w:rFonts w:ascii="Arial" w:cs="Arial" w:eastAsia="Arial" w:hAnsi="Arial"/>
          <w:sz w:val="19"/>
          <w:szCs w:val="19"/>
          <w:color w:val="auto"/>
        </w:rPr>
        <w:t>to promote the achievement of year-to-year and long-range financial and other business objectives such as high quality of service and product, improved productivity and efficiencies for the benefit of our customers’ satisfaction and to assure a reasonable return to Foot Locker’s shareholders.</w:t>
      </w:r>
    </w:p>
    <w:p>
      <w:pPr>
        <w:spacing w:after="0" w:line="67" w:lineRule="exact"/>
        <w:rPr>
          <w:rFonts w:ascii="Arial" w:cs="Arial" w:eastAsia="Arial" w:hAnsi="Arial"/>
          <w:sz w:val="19"/>
          <w:szCs w:val="19"/>
          <w:color w:val="auto"/>
        </w:rPr>
      </w:pPr>
    </w:p>
    <w:p>
      <w:pPr>
        <w:ind w:left="980" w:hanging="257"/>
        <w:spacing w:after="0"/>
        <w:tabs>
          <w:tab w:leader="none" w:pos="9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to reward the performance of officers and key employees in fulfilling their personal responsibilities for annual achievements.</w:t>
      </w:r>
    </w:p>
    <w:p>
      <w:pPr>
        <w:spacing w:after="0" w:line="119" w:lineRule="exact"/>
        <w:rPr>
          <w:rFonts w:ascii="Arial" w:cs="Arial" w:eastAsia="Arial" w:hAnsi="Arial"/>
          <w:sz w:val="19"/>
          <w:szCs w:val="19"/>
          <w:color w:val="auto"/>
        </w:rPr>
      </w:pPr>
    </w:p>
    <w:p>
      <w:pPr>
        <w:ind w:left="360" w:right="400" w:firstLine="363"/>
        <w:spacing w:after="0" w:line="344" w:lineRule="auto"/>
        <w:tabs>
          <w:tab w:leader="none" w:pos="992" w:val="left"/>
        </w:tabs>
        <w:numPr>
          <w:ilvl w:val="0"/>
          <w:numId w:val="63"/>
        </w:numPr>
        <w:rPr>
          <w:rFonts w:ascii="Arial" w:cs="Arial" w:eastAsia="Arial" w:hAnsi="Arial"/>
          <w:sz w:val="17"/>
          <w:szCs w:val="17"/>
          <w:color w:val="auto"/>
        </w:rPr>
      </w:pPr>
      <w:r>
        <w:rPr>
          <w:rFonts w:ascii="Arial" w:cs="Arial" w:eastAsia="Arial" w:hAnsi="Arial"/>
          <w:sz w:val="17"/>
          <w:szCs w:val="17"/>
          <w:color w:val="auto"/>
        </w:rPr>
        <w:t>to serve as a qualified performance-based compensation program under Section 162(m) of the Internal Revenue Code of 1986, as amended (the “Code”) or any successor section and the Treasury regulations promulgated thereunder (“Section 162(m) of the Code”).</w:t>
      </w:r>
    </w:p>
    <w:p>
      <w:pPr>
        <w:spacing w:after="0" w:line="223" w:lineRule="exact"/>
        <w:rPr>
          <w:sz w:val="20"/>
          <w:szCs w:val="20"/>
          <w:color w:val="auto"/>
        </w:rPr>
      </w:pPr>
    </w:p>
    <w:p>
      <w:pPr>
        <w:ind w:left="200" w:hanging="192"/>
        <w:spacing w:after="0"/>
        <w:tabs>
          <w:tab w:leader="none" w:pos="200"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Definitions.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terms, as used herein, shall have the following meanings:</w:t>
      </w:r>
    </w:p>
    <w:p>
      <w:pPr>
        <w:spacing w:after="0" w:line="113" w:lineRule="exact"/>
        <w:rPr>
          <w:sz w:val="20"/>
          <w:szCs w:val="20"/>
          <w:color w:val="auto"/>
        </w:rPr>
      </w:pPr>
    </w:p>
    <w:p>
      <w:pPr>
        <w:ind w:left="360" w:right="80" w:firstLine="363"/>
        <w:spacing w:after="0" w:line="257" w:lineRule="auto"/>
        <w:tabs>
          <w:tab w:leader="none" w:pos="981"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Annual Base Salary</w:t>
      </w:r>
      <w:r>
        <w:rPr>
          <w:rFonts w:ascii="Arial" w:cs="Arial" w:eastAsia="Arial" w:hAnsi="Arial"/>
          <w:sz w:val="19"/>
          <w:szCs w:val="19"/>
          <w:color w:val="auto"/>
        </w:rPr>
        <w:t>” with respect to any Plan Year shall mean the total amount paid by Foot Locker and its subsidiaries to a participant during such Plan Year without reduction for any amounts withheld pursuant to participation in a qualified “cafeteria plan” under Section 125 of the Code, a qualified transportation arrangement under Section 132(f)(4) of the Code, or a cash or deferred arrangement under Section 401(k) of the Code. Annual Base Salary shall not include any amount paid or accruing to a participant under the Foot Locker Long-Term Incentive Compensation Plan or any other incentive compensation or bonus payment or extraordinary remuneration, expense allowances, imputed income or any other amounts deemed to be indirect compensation, severance pay and any contributions made by Foot Locker to this or any other plan maintained by Foot Locker or any other amounts which, in the opinion of the Committee, are not considered to be Annual Base Salary for purposes of the Plan.</w:t>
      </w:r>
    </w:p>
    <w:p>
      <w:pPr>
        <w:spacing w:after="0" w:line="73" w:lineRule="exact"/>
        <w:rPr>
          <w:rFonts w:ascii="Arial" w:cs="Arial" w:eastAsia="Arial" w:hAnsi="Arial"/>
          <w:sz w:val="19"/>
          <w:szCs w:val="19"/>
          <w:color w:val="auto"/>
        </w:rPr>
      </w:pPr>
    </w:p>
    <w:p>
      <w:pPr>
        <w:ind w:left="1000" w:hanging="277"/>
        <w:spacing w:after="0"/>
        <w:tabs>
          <w:tab w:leader="none" w:pos="10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Foot Locker.</w:t>
      </w:r>
    </w:p>
    <w:p>
      <w:pPr>
        <w:spacing w:after="0" w:line="119" w:lineRule="exact"/>
        <w:rPr>
          <w:rFonts w:ascii="Arial" w:cs="Arial" w:eastAsia="Arial" w:hAnsi="Arial"/>
          <w:sz w:val="19"/>
          <w:szCs w:val="19"/>
          <w:color w:val="auto"/>
        </w:rPr>
      </w:pPr>
    </w:p>
    <w:p>
      <w:pPr>
        <w:ind w:left="360" w:right="220" w:firstLine="363"/>
        <w:spacing w:after="0" w:line="289" w:lineRule="auto"/>
        <w:tabs>
          <w:tab w:leader="none" w:pos="981"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shall mean two or more members of the Compensation and Management Resources Committee of the Board, each of whom is an “outside director” within the meaning of Section 162(m) of the Code.</w:t>
      </w:r>
    </w:p>
    <w:p>
      <w:pPr>
        <w:spacing w:after="0" w:line="41" w:lineRule="exact"/>
        <w:rPr>
          <w:rFonts w:ascii="Arial" w:cs="Arial" w:eastAsia="Arial" w:hAnsi="Arial"/>
          <w:sz w:val="19"/>
          <w:szCs w:val="19"/>
          <w:color w:val="auto"/>
        </w:rPr>
      </w:pPr>
    </w:p>
    <w:p>
      <w:pPr>
        <w:ind w:left="360" w:firstLine="363"/>
        <w:spacing w:after="0" w:line="289" w:lineRule="auto"/>
        <w:tabs>
          <w:tab w:leader="none" w:pos="992"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Covered Employee</w:t>
      </w:r>
      <w:r>
        <w:rPr>
          <w:rFonts w:ascii="Arial" w:cs="Arial" w:eastAsia="Arial" w:hAnsi="Arial"/>
          <w:sz w:val="19"/>
          <w:szCs w:val="19"/>
          <w:color w:val="auto"/>
        </w:rPr>
        <w:t>” shall mean an officer or key employee of Foot Locker who is designated as an executive officer for purposes of Rule 3b-7 of the Securities Exchange Act of 1934 for the relevant Plan Year.</w:t>
      </w:r>
    </w:p>
    <w:p>
      <w:pPr>
        <w:spacing w:after="0" w:line="27" w:lineRule="exact"/>
        <w:rPr>
          <w:rFonts w:ascii="Arial" w:cs="Arial" w:eastAsia="Arial" w:hAnsi="Arial"/>
          <w:sz w:val="19"/>
          <w:szCs w:val="19"/>
          <w:color w:val="auto"/>
        </w:rPr>
      </w:pPr>
    </w:p>
    <w:p>
      <w:pPr>
        <w:jc w:val="both"/>
        <w:ind w:left="360" w:right="200" w:firstLine="363"/>
        <w:spacing w:after="0" w:line="271" w:lineRule="auto"/>
        <w:tabs>
          <w:tab w:leader="none" w:pos="981"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Payment Date</w:t>
      </w:r>
      <w:r>
        <w:rPr>
          <w:rFonts w:ascii="Arial" w:cs="Arial" w:eastAsia="Arial" w:hAnsi="Arial"/>
          <w:sz w:val="19"/>
          <w:szCs w:val="19"/>
          <w:color w:val="auto"/>
        </w:rPr>
        <w:t>” shall mean the date selected by the Committee for payments under the Plan to be made following the finalization, review and approval of performance goal achievements for the Plan Year, which date shall be within two and one-half months following the end of the Plan Year.</w:t>
      </w:r>
    </w:p>
    <w:p>
      <w:pPr>
        <w:spacing w:after="0" w:line="56" w:lineRule="exact"/>
        <w:rPr>
          <w:rFonts w:ascii="Arial" w:cs="Arial" w:eastAsia="Arial" w:hAnsi="Arial"/>
          <w:sz w:val="19"/>
          <w:szCs w:val="19"/>
          <w:color w:val="auto"/>
        </w:rPr>
      </w:pPr>
    </w:p>
    <w:p>
      <w:pPr>
        <w:ind w:left="360" w:right="300" w:firstLine="363"/>
        <w:spacing w:after="0" w:line="289" w:lineRule="auto"/>
        <w:tabs>
          <w:tab w:leader="none" w:pos="960"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Individual Target Award</w:t>
      </w:r>
      <w:r>
        <w:rPr>
          <w:rFonts w:ascii="Arial" w:cs="Arial" w:eastAsia="Arial" w:hAnsi="Arial"/>
          <w:sz w:val="19"/>
          <w:szCs w:val="19"/>
          <w:color w:val="auto"/>
        </w:rPr>
        <w:t>” shall mean the targeted performance award for a Plan Year specified by the Committee as provided in Section 6 herein.</w:t>
      </w:r>
    </w:p>
    <w:p>
      <w:pPr>
        <w:spacing w:after="0" w:line="41" w:lineRule="exact"/>
        <w:rPr>
          <w:rFonts w:ascii="Arial" w:cs="Arial" w:eastAsia="Arial" w:hAnsi="Arial"/>
          <w:sz w:val="19"/>
          <w:szCs w:val="19"/>
          <w:color w:val="auto"/>
        </w:rPr>
      </w:pPr>
    </w:p>
    <w:p>
      <w:pPr>
        <w:ind w:left="1000" w:hanging="277"/>
        <w:spacing w:after="0"/>
        <w:tabs>
          <w:tab w:leader="none" w:pos="10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Plan Year</w:t>
      </w:r>
      <w:r>
        <w:rPr>
          <w:rFonts w:ascii="Arial" w:cs="Arial" w:eastAsia="Arial" w:hAnsi="Arial"/>
          <w:sz w:val="19"/>
          <w:szCs w:val="19"/>
          <w:color w:val="auto"/>
        </w:rPr>
        <w:t>” shall mean Foot Locker’s fiscal year during which the Plan is in effect.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8" w:name="page69"/>
    <w:bookmarkEnd w:id="68"/>
    <w:p>
      <w:pPr>
        <w:ind w:left="200" w:hanging="192"/>
        <w:spacing w:after="0"/>
        <w:tabs>
          <w:tab w:leader="none" w:pos="200"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Administration of the Plan.</w:t>
      </w:r>
    </w:p>
    <w:p>
      <w:pPr>
        <w:spacing w:after="0" w:line="119"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The Plan shall be administered by the Committee. No member of the Committee while serving as such shall be eligible for participation in the Plan. The Committee shall have exclusive and final authority in all determinations and decisions affecting the Plan and its participants. The Committee shall also have the sole authority to interpret the Plan, to establish and revise rules and regulations relating to the Plan, to delegate such responsibilities or duties as it deems desirable, and to make any other determination that it believes necessary or advisable for the administration of the Plan including, but not limited to: (i) approving the designation of eligible participants; (ii) setting the performance criteria within the Plan guidelines; and (iii) certifying attainment of performance goals and other material terms. The Committee shall have the authority in its sole discretion, subject to and not inconsistent with the express provisions of the Plan, to incorporate provisions in the performance goals allowing for adjustments in recognition of unusual or non-recurring events affecting Foot Locker or the financial statements of Foot Locker, or in response to changes in applicable laws, regulations, or accounting principles; provided that the Committee shall have such authority with regard to the performance goals of Covered Employees solely to the extent permitted by Section 162(m) of the Code. To the extent any provision of the Plan creates impermissible discretion under Section 162(m) of the Code or would otherwise violate Section 162(m) of the Code with regard to the performance goals of Covered Employees, such provision shall have no force or effect.</w:t>
      </w:r>
    </w:p>
    <w:p>
      <w:pPr>
        <w:spacing w:after="0" w:line="285" w:lineRule="exact"/>
        <w:rPr>
          <w:sz w:val="20"/>
          <w:szCs w:val="20"/>
          <w:color w:val="auto"/>
        </w:rPr>
      </w:pPr>
    </w:p>
    <w:p>
      <w:pPr>
        <w:ind w:left="200" w:hanging="192"/>
        <w:spacing w:after="0"/>
        <w:tabs>
          <w:tab w:leader="none" w:pos="200"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Participation.</w:t>
      </w:r>
    </w:p>
    <w:p>
      <w:pPr>
        <w:spacing w:after="0" w:line="119" w:lineRule="exact"/>
        <w:rPr>
          <w:sz w:val="20"/>
          <w:szCs w:val="20"/>
          <w:color w:val="auto"/>
        </w:rPr>
      </w:pPr>
    </w:p>
    <w:p>
      <w:pPr>
        <w:ind w:right="260" w:firstLine="357"/>
        <w:spacing w:after="0" w:line="258" w:lineRule="auto"/>
        <w:rPr>
          <w:sz w:val="20"/>
          <w:szCs w:val="20"/>
          <w:color w:val="auto"/>
        </w:rPr>
      </w:pPr>
      <w:r>
        <w:rPr>
          <w:rFonts w:ascii="Arial" w:cs="Arial" w:eastAsia="Arial" w:hAnsi="Arial"/>
          <w:sz w:val="19"/>
          <w:szCs w:val="19"/>
          <w:color w:val="auto"/>
        </w:rPr>
        <w:t>Participation in the Plan is limited to officers or key employees of Foot Locker. Individual participants shall be those employees selected in the sole discretion of the Committee (in the case of Covered Employees) or its designee (in the case of all other officers and key employees). In determining the persons to whom awards shall be granted, the Committee shall take into account such factors as the Committee shall deem appropriate in connection with accomplishing the purposes of the Plan. The Committee may from time to time designate additional participants who satisfy the criteria for participation as set forth herein and shall determine when an officer or key employee of Foot Locker ceases to be a participant in the Plan.</w:t>
      </w:r>
    </w:p>
    <w:p>
      <w:pPr>
        <w:spacing w:after="0" w:line="279" w:lineRule="exact"/>
        <w:rPr>
          <w:sz w:val="20"/>
          <w:szCs w:val="20"/>
          <w:color w:val="auto"/>
        </w:rPr>
      </w:pPr>
    </w:p>
    <w:p>
      <w:pPr>
        <w:ind w:left="200" w:hanging="192"/>
        <w:spacing w:after="0"/>
        <w:tabs>
          <w:tab w:leader="none" w:pos="200"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Right to Payment.</w:t>
      </w:r>
    </w:p>
    <w:p>
      <w:pPr>
        <w:spacing w:after="0" w:line="119" w:lineRule="exact"/>
        <w:rPr>
          <w:sz w:val="20"/>
          <w:szCs w:val="20"/>
          <w:color w:val="auto"/>
        </w:rPr>
      </w:pPr>
    </w:p>
    <w:p>
      <w:pPr>
        <w:ind w:right="480" w:firstLine="357"/>
        <w:spacing w:after="0" w:line="283" w:lineRule="auto"/>
        <w:rPr>
          <w:sz w:val="20"/>
          <w:szCs w:val="20"/>
          <w:color w:val="auto"/>
        </w:rPr>
      </w:pPr>
      <w:r>
        <w:rPr>
          <w:rFonts w:ascii="Arial" w:cs="Arial" w:eastAsia="Arial" w:hAnsi="Arial"/>
          <w:sz w:val="19"/>
          <w:szCs w:val="19"/>
          <w:color w:val="auto"/>
        </w:rPr>
        <w:t>Unless otherwise determined by the Committee in its sole discretion, a participant shall have no right to receive payment under this Plan unless the participant remains in the employ of Foot Locker at all times through and including the Payment Date.</w:t>
      </w:r>
    </w:p>
    <w:p>
      <w:pPr>
        <w:spacing w:after="0" w:line="268" w:lineRule="exact"/>
        <w:rPr>
          <w:sz w:val="20"/>
          <w:szCs w:val="20"/>
          <w:color w:val="auto"/>
        </w:rPr>
      </w:pPr>
    </w:p>
    <w:p>
      <w:pPr>
        <w:ind w:left="200" w:hanging="192"/>
        <w:spacing w:after="0"/>
        <w:tabs>
          <w:tab w:leader="none" w:pos="20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Payment.</w:t>
      </w:r>
    </w:p>
    <w:p>
      <w:pPr>
        <w:spacing w:after="0" w:line="119" w:lineRule="exact"/>
        <w:rPr>
          <w:rFonts w:ascii="Arial" w:cs="Arial" w:eastAsia="Arial" w:hAnsi="Arial"/>
          <w:sz w:val="19"/>
          <w:szCs w:val="19"/>
          <w:b w:val="1"/>
          <w:bCs w:val="1"/>
          <w:color w:val="auto"/>
        </w:rPr>
      </w:pPr>
    </w:p>
    <w:p>
      <w:pPr>
        <w:ind w:right="160" w:firstLine="365"/>
        <w:spacing w:after="0" w:line="313" w:lineRule="auto"/>
        <w:tabs>
          <w:tab w:leader="none" w:pos="621" w:val="left"/>
        </w:tabs>
        <w:numPr>
          <w:ilvl w:val="1"/>
          <w:numId w:val="69"/>
        </w:numPr>
        <w:rPr>
          <w:rFonts w:ascii="Arial" w:cs="Arial" w:eastAsia="Arial" w:hAnsi="Arial"/>
          <w:sz w:val="17"/>
          <w:szCs w:val="17"/>
          <w:color w:val="auto"/>
        </w:rPr>
      </w:pPr>
      <w:r>
        <w:rPr>
          <w:rFonts w:ascii="Arial" w:cs="Arial" w:eastAsia="Arial" w:hAnsi="Arial"/>
          <w:sz w:val="17"/>
          <w:szCs w:val="17"/>
          <w:color w:val="auto"/>
        </w:rPr>
        <w:t>Payment under this Plan to a participant will be made in cash in an amount equal to the achieved percentage of such participant’s Annual Base Salary as determined by the Committee for each Plan Year. Such percentage shall be based on the participant’s achievement of his or her Individual Target Award. Payment shall be made only if and to the extent the performance goals with respect to the Plan Year are attained.</w:t>
      </w:r>
    </w:p>
    <w:p>
      <w:pPr>
        <w:spacing w:after="0" w:line="32" w:lineRule="exact"/>
        <w:rPr>
          <w:rFonts w:ascii="Arial" w:cs="Arial" w:eastAsia="Arial" w:hAnsi="Arial"/>
          <w:sz w:val="17"/>
          <w:szCs w:val="17"/>
          <w:color w:val="auto"/>
        </w:rPr>
      </w:pPr>
    </w:p>
    <w:p>
      <w:pPr>
        <w:ind w:right="60" w:firstLine="365"/>
        <w:spacing w:after="0" w:line="258" w:lineRule="auto"/>
        <w:tabs>
          <w:tab w:leader="none" w:pos="632" w:val="left"/>
        </w:tabs>
        <w:numPr>
          <w:ilvl w:val="1"/>
          <w:numId w:val="69"/>
        </w:numPr>
        <w:rPr>
          <w:rFonts w:ascii="Arial" w:cs="Arial" w:eastAsia="Arial" w:hAnsi="Arial"/>
          <w:sz w:val="19"/>
          <w:szCs w:val="19"/>
          <w:color w:val="auto"/>
        </w:rPr>
      </w:pPr>
      <w:r>
        <w:rPr>
          <w:rFonts w:ascii="Arial" w:cs="Arial" w:eastAsia="Arial" w:hAnsi="Arial"/>
          <w:sz w:val="19"/>
          <w:szCs w:val="19"/>
          <w:color w:val="auto"/>
        </w:rPr>
        <w:t>At the beginning of each Plan Year (or, with respect to Covered Employees, within the time period prescribed by Section 162(m) of the Code), the Committee shall establish all performance goals and the Individual Target Awards for such Plan Year and Foot Locker shall inform each participant of the Committee’s determination with respect to such participant for such Plan Year. Individual Target Awards shall be expressed as a percentage of such participant’s Annual Base Salary. At the time the performance goals are established, the Committee shall prescribe a formula to determine the percentages of the Individual Target Award which may be payable based upon the degree of attainment of the performance goals during the Plan Year.</w:t>
      </w:r>
    </w:p>
    <w:p>
      <w:pPr>
        <w:spacing w:after="0" w:line="76" w:lineRule="exact"/>
        <w:rPr>
          <w:rFonts w:ascii="Arial" w:cs="Arial" w:eastAsia="Arial" w:hAnsi="Arial"/>
          <w:sz w:val="19"/>
          <w:szCs w:val="19"/>
          <w:color w:val="auto"/>
        </w:rPr>
      </w:pPr>
    </w:p>
    <w:p>
      <w:pPr>
        <w:ind w:left="620" w:hanging="255"/>
        <w:spacing w:after="0"/>
        <w:tabs>
          <w:tab w:leader="none" w:pos="620" w:val="left"/>
        </w:tabs>
        <w:numPr>
          <w:ilvl w:val="1"/>
          <w:numId w:val="69"/>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9" w:name="page70"/>
    <w:bookmarkEnd w:id="69"/>
    <w:p>
      <w:pPr>
        <w:ind w:left="360" w:right="120" w:firstLine="363"/>
        <w:spacing w:after="0" w:line="283" w:lineRule="auto"/>
        <w:tabs>
          <w:tab w:leader="none" w:pos="992"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performance goals in respect of awards granted to participants who are Covered Employees, shall be based on one or more of the following criteria:</w:t>
      </w:r>
    </w:p>
    <w:p>
      <w:pPr>
        <w:spacing w:after="0" w:line="51" w:lineRule="exact"/>
        <w:rPr>
          <w:rFonts w:ascii="Arial" w:cs="Arial" w:eastAsia="Arial" w:hAnsi="Arial"/>
          <w:sz w:val="19"/>
          <w:szCs w:val="19"/>
          <w:color w:val="auto"/>
        </w:rPr>
      </w:pPr>
    </w:p>
    <w:p>
      <w:pPr>
        <w:ind w:left="1320" w:hanging="235"/>
        <w:spacing w:after="0"/>
        <w:tabs>
          <w:tab w:leader="none" w:pos="1320"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attainment of certain target levels of, or percentage increase in, pre-tax profit;</w:t>
      </w:r>
    </w:p>
    <w:p>
      <w:pPr>
        <w:spacing w:after="0" w:line="119" w:lineRule="exact"/>
        <w:rPr>
          <w:rFonts w:ascii="Arial" w:cs="Arial" w:eastAsia="Arial" w:hAnsi="Arial"/>
          <w:sz w:val="19"/>
          <w:szCs w:val="19"/>
          <w:color w:val="auto"/>
        </w:rPr>
      </w:pPr>
    </w:p>
    <w:p>
      <w:pPr>
        <w:ind w:left="1380" w:hanging="295"/>
        <w:spacing w:after="0"/>
        <w:tabs>
          <w:tab w:leader="none" w:pos="1380"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attainment of certain target levels of, or percentage increase in, division profit;</w:t>
      </w:r>
    </w:p>
    <w:p>
      <w:pPr>
        <w:spacing w:after="0" w:line="119" w:lineRule="exact"/>
        <w:rPr>
          <w:rFonts w:ascii="Arial" w:cs="Arial" w:eastAsia="Arial" w:hAnsi="Arial"/>
          <w:sz w:val="19"/>
          <w:szCs w:val="19"/>
          <w:color w:val="auto"/>
        </w:rPr>
      </w:pPr>
    </w:p>
    <w:p>
      <w:pPr>
        <w:ind w:left="720" w:firstLine="365"/>
        <w:spacing w:after="0" w:line="283" w:lineRule="auto"/>
        <w:tabs>
          <w:tab w:leader="none" w:pos="1417"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attainment of certain target levels of, or a percentage increase in, after-tax profits of Foot Locker (or a subsidiary, division, or other operational unit of Foot Locker);</w:t>
      </w:r>
    </w:p>
    <w:p>
      <w:pPr>
        <w:spacing w:after="0" w:line="51" w:lineRule="exact"/>
        <w:rPr>
          <w:rFonts w:ascii="Arial" w:cs="Arial" w:eastAsia="Arial" w:hAnsi="Arial"/>
          <w:sz w:val="19"/>
          <w:szCs w:val="19"/>
          <w:color w:val="auto"/>
        </w:rPr>
      </w:pPr>
    </w:p>
    <w:p>
      <w:pPr>
        <w:ind w:left="720" w:right="620" w:firstLine="365"/>
        <w:spacing w:after="0" w:line="283" w:lineRule="auto"/>
        <w:tabs>
          <w:tab w:leader="none" w:pos="1406"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attainment of certain target levels of, or a specified increase in, operational cash flow of Foot Locker (or a subsidiary, division, or other operational unit of Foot Locker);</w:t>
      </w:r>
    </w:p>
    <w:p>
      <w:pPr>
        <w:spacing w:after="0" w:line="51" w:lineRule="exact"/>
        <w:rPr>
          <w:rFonts w:ascii="Arial" w:cs="Arial" w:eastAsia="Arial" w:hAnsi="Arial"/>
          <w:sz w:val="19"/>
          <w:szCs w:val="19"/>
          <w:color w:val="auto"/>
        </w:rPr>
      </w:pPr>
    </w:p>
    <w:p>
      <w:pPr>
        <w:ind w:left="720" w:right="20" w:firstLine="365"/>
        <w:spacing w:after="0" w:line="262" w:lineRule="auto"/>
        <w:tabs>
          <w:tab w:leader="none" w:pos="1352"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achievement of a certain level of, reduction of, or other specified objectives with regard to limiting the level of increase in, all or a portion of, Foot Locker’s bank debt or other long- term or short-term public or private debt or other similar financial obligations of Foot Locker, if any, which may be calculated net of such cash balances and/or other offsets and adjustments as may be established by the Committee;</w:t>
      </w:r>
    </w:p>
    <w:p>
      <w:pPr>
        <w:spacing w:after="0" w:line="72" w:lineRule="exact"/>
        <w:rPr>
          <w:rFonts w:ascii="Arial" w:cs="Arial" w:eastAsia="Arial" w:hAnsi="Arial"/>
          <w:sz w:val="19"/>
          <w:szCs w:val="19"/>
          <w:color w:val="auto"/>
        </w:rPr>
      </w:pPr>
    </w:p>
    <w:p>
      <w:pPr>
        <w:ind w:left="720" w:right="140" w:firstLine="365"/>
        <w:spacing w:after="0" w:line="283" w:lineRule="auto"/>
        <w:tabs>
          <w:tab w:leader="none" w:pos="1406"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attainment of a specified percentage increase in earnings per share or earnings per share from continuing operations of Foot Locker (or a subsidiary, division or other operational unit of Foot Locker);</w:t>
      </w:r>
    </w:p>
    <w:p>
      <w:pPr>
        <w:spacing w:after="0" w:line="38" w:lineRule="exact"/>
        <w:rPr>
          <w:rFonts w:ascii="Arial" w:cs="Arial" w:eastAsia="Arial" w:hAnsi="Arial"/>
          <w:sz w:val="19"/>
          <w:szCs w:val="19"/>
          <w:color w:val="auto"/>
        </w:rPr>
      </w:pPr>
    </w:p>
    <w:p>
      <w:pPr>
        <w:ind w:left="720" w:right="260" w:firstLine="365"/>
        <w:spacing w:after="0" w:line="267" w:lineRule="auto"/>
        <w:tabs>
          <w:tab w:leader="none" w:pos="1460"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attainment of certain target levels of, or a specified percentage increase in, revenues, net income, or earnings before (A) interest, (B) taxes, (C) depreciation and/or (D) amortization, of Foot Locker (or a subsidiary, division, or other operational unit of Foot Locker);</w:t>
      </w:r>
    </w:p>
    <w:p>
      <w:pPr>
        <w:spacing w:after="0" w:line="67" w:lineRule="exact"/>
        <w:rPr>
          <w:rFonts w:ascii="Arial" w:cs="Arial" w:eastAsia="Arial" w:hAnsi="Arial"/>
          <w:sz w:val="19"/>
          <w:szCs w:val="19"/>
          <w:color w:val="auto"/>
        </w:rPr>
      </w:pPr>
    </w:p>
    <w:p>
      <w:pPr>
        <w:ind w:left="1520" w:hanging="435"/>
        <w:spacing w:after="0"/>
        <w:tabs>
          <w:tab w:leader="none" w:pos="1520"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attainment of certain target levels of, or a specified increase in, return on invested capital or return on investment;</w:t>
      </w:r>
    </w:p>
    <w:p>
      <w:pPr>
        <w:spacing w:after="0" w:line="119" w:lineRule="exact"/>
        <w:rPr>
          <w:rFonts w:ascii="Arial" w:cs="Arial" w:eastAsia="Arial" w:hAnsi="Arial"/>
          <w:sz w:val="19"/>
          <w:szCs w:val="19"/>
          <w:color w:val="auto"/>
        </w:rPr>
      </w:pPr>
    </w:p>
    <w:p>
      <w:pPr>
        <w:ind w:left="720" w:right="200" w:firstLine="365"/>
        <w:spacing w:after="0" w:line="283" w:lineRule="auto"/>
        <w:tabs>
          <w:tab w:leader="none" w:pos="1406"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attainment of certain target levels of, or a percentage increase in, after-tax or pre-tax return on shareholders’ equity of Foot Locker (or any subsidiary, division or other operational unit of Foot Locker); and</w:t>
      </w:r>
    </w:p>
    <w:p>
      <w:pPr>
        <w:spacing w:after="0" w:line="51" w:lineRule="exact"/>
        <w:rPr>
          <w:rFonts w:ascii="Arial" w:cs="Arial" w:eastAsia="Arial" w:hAnsi="Arial"/>
          <w:sz w:val="19"/>
          <w:szCs w:val="19"/>
          <w:color w:val="auto"/>
        </w:rPr>
      </w:pPr>
    </w:p>
    <w:p>
      <w:pPr>
        <w:ind w:left="720" w:right="120" w:firstLine="365"/>
        <w:spacing w:after="0" w:line="283" w:lineRule="auto"/>
        <w:tabs>
          <w:tab w:leader="none" w:pos="1352"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attainment of a certain target level of, or reduction in, selling, general and administrative expense as a percentage of revenue of Foot Locker (or any subsidiary, division or other operational unit of Foot Locker), and</w:t>
      </w:r>
    </w:p>
    <w:p>
      <w:pPr>
        <w:spacing w:after="0" w:line="51" w:lineRule="exact"/>
        <w:rPr>
          <w:rFonts w:ascii="Arial" w:cs="Arial" w:eastAsia="Arial" w:hAnsi="Arial"/>
          <w:sz w:val="19"/>
          <w:szCs w:val="19"/>
          <w:color w:val="auto"/>
        </w:rPr>
      </w:pPr>
    </w:p>
    <w:p>
      <w:pPr>
        <w:ind w:left="360" w:right="220" w:firstLine="363"/>
        <w:spacing w:after="0" w:line="258" w:lineRule="auto"/>
        <w:tabs>
          <w:tab w:leader="none" w:pos="992" w:val="left"/>
        </w:tabs>
        <w:numPr>
          <w:ilvl w:val="1"/>
          <w:numId w:val="70"/>
        </w:numPr>
        <w:rPr>
          <w:rFonts w:ascii="Arial" w:cs="Arial" w:eastAsia="Arial" w:hAnsi="Arial"/>
          <w:sz w:val="19"/>
          <w:szCs w:val="19"/>
          <w:color w:val="auto"/>
        </w:rPr>
      </w:pPr>
      <w:r>
        <w:rPr>
          <w:rFonts w:ascii="Arial" w:cs="Arial" w:eastAsia="Arial" w:hAnsi="Arial"/>
          <w:sz w:val="19"/>
          <w:szCs w:val="19"/>
          <w:color w:val="auto"/>
        </w:rPr>
        <w:t>in no event shall payment in respect of an award granted for a performance period be made to a participant who is a Covered Employee as of the end of such Plan Year in an amount which exceeds $3 million. Subject to Section 3 of the Plan regarding certain adjustments, in connection with the establishment of the performance goals, the criteria listed above for Foot Locker (or any subsidiary, division or other operational unit of Foot Locker) shall be determined in accordance with generally accepted accounting principles consistently applied by Foot Locker, but before consideration of payments to be made pursuant to this Plan and pursuant to the Foot Locker Long-Term Incentive Compensation Plan.</w:t>
      </w:r>
    </w:p>
    <w:p>
      <w:pPr>
        <w:spacing w:after="0" w:line="292" w:lineRule="exact"/>
        <w:rPr>
          <w:rFonts w:ascii="Arial" w:cs="Arial" w:eastAsia="Arial" w:hAnsi="Arial"/>
          <w:sz w:val="19"/>
          <w:szCs w:val="19"/>
          <w:color w:val="auto"/>
        </w:rPr>
      </w:pPr>
    </w:p>
    <w:p>
      <w:pPr>
        <w:ind w:left="200" w:hanging="192"/>
        <w:spacing w:after="0"/>
        <w:tabs>
          <w:tab w:leader="none" w:pos="200"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Time of Payment.</w:t>
      </w:r>
    </w:p>
    <w:p>
      <w:pPr>
        <w:spacing w:after="0" w:line="119" w:lineRule="exact"/>
        <w:rPr>
          <w:sz w:val="20"/>
          <w:szCs w:val="20"/>
          <w:color w:val="auto"/>
        </w:rPr>
      </w:pPr>
    </w:p>
    <w:p>
      <w:pPr>
        <w:ind w:right="20" w:firstLine="357"/>
        <w:spacing w:after="0" w:line="302" w:lineRule="auto"/>
        <w:rPr>
          <w:sz w:val="20"/>
          <w:szCs w:val="20"/>
          <w:color w:val="auto"/>
        </w:rPr>
      </w:pPr>
      <w:r>
        <w:rPr>
          <w:rFonts w:ascii="Arial" w:cs="Arial" w:eastAsia="Arial" w:hAnsi="Arial"/>
          <w:sz w:val="17"/>
          <w:szCs w:val="17"/>
          <w:color w:val="auto"/>
        </w:rPr>
        <w:t>All payments earned by participants under this Plan will be paid after performance goal achievements for the Plan Year have been finalized, reviewed, approved, and to the extent required by Section 162(m) of the Code, certified by the Committee, but in no event later than two and one-half months following the end of the applicable Plan Year. Foot Locker’s independent accountants shall, as of the close of the Plan Year, determine whether the performance goals have been achieved and communicate the results of such determination to the Committee.</w:t>
      </w:r>
    </w:p>
    <w:p>
      <w:pPr>
        <w:spacing w:after="0" w:line="259" w:lineRule="exact"/>
        <w:rPr>
          <w:sz w:val="20"/>
          <w:szCs w:val="20"/>
          <w:color w:val="auto"/>
        </w:rPr>
      </w:pPr>
    </w:p>
    <w:p>
      <w:pPr>
        <w:ind w:left="200" w:hanging="192"/>
        <w:spacing w:after="0"/>
        <w:tabs>
          <w:tab w:leader="none" w:pos="200"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Miscellaneous Provisions.</w:t>
      </w:r>
    </w:p>
    <w:p>
      <w:pPr>
        <w:spacing w:after="0" w:line="119" w:lineRule="exact"/>
        <w:rPr>
          <w:rFonts w:ascii="Arial" w:cs="Arial" w:eastAsia="Arial" w:hAnsi="Arial"/>
          <w:sz w:val="19"/>
          <w:szCs w:val="19"/>
          <w:b w:val="1"/>
          <w:bCs w:val="1"/>
          <w:color w:val="auto"/>
        </w:rPr>
      </w:pPr>
    </w:p>
    <w:p>
      <w:pPr>
        <w:ind w:left="5560" w:right="2260" w:hanging="5195"/>
        <w:spacing w:after="0" w:line="401" w:lineRule="auto"/>
        <w:tabs>
          <w:tab w:leader="none" w:pos="626" w:val="left"/>
        </w:tabs>
        <w:numPr>
          <w:ilvl w:val="1"/>
          <w:numId w:val="72"/>
        </w:numPr>
        <w:rPr>
          <w:rFonts w:ascii="Arial" w:cs="Arial" w:eastAsia="Arial" w:hAnsi="Arial"/>
          <w:sz w:val="19"/>
          <w:szCs w:val="19"/>
          <w:color w:val="auto"/>
        </w:rPr>
      </w:pPr>
      <w:r>
        <w:rPr>
          <w:rFonts w:ascii="Arial" w:cs="Arial" w:eastAsia="Arial" w:hAnsi="Arial"/>
          <w:sz w:val="19"/>
          <w:szCs w:val="19"/>
          <w:color w:val="auto"/>
        </w:rPr>
        <w:t>A participant’s rights and interests under the Plan may not be sold, assigned, transferred, pledged or alienated.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0" w:name="page71"/>
    <w:bookmarkEnd w:id="70"/>
    <w:p>
      <w:pPr>
        <w:ind w:right="220" w:firstLine="365"/>
        <w:spacing w:after="0" w:line="283" w:lineRule="auto"/>
        <w:tabs>
          <w:tab w:leader="none" w:pos="632" w:val="left"/>
        </w:tabs>
        <w:numPr>
          <w:ilvl w:val="0"/>
          <w:numId w:val="73"/>
        </w:numPr>
        <w:rPr>
          <w:rFonts w:ascii="Arial" w:cs="Arial" w:eastAsia="Arial" w:hAnsi="Arial"/>
          <w:sz w:val="19"/>
          <w:szCs w:val="19"/>
          <w:color w:val="auto"/>
        </w:rPr>
      </w:pPr>
      <w:r>
        <w:rPr>
          <w:rFonts w:ascii="Arial" w:cs="Arial" w:eastAsia="Arial" w:hAnsi="Arial"/>
          <w:sz w:val="19"/>
          <w:szCs w:val="19"/>
          <w:color w:val="auto"/>
        </w:rPr>
        <w:t>In the case of a participant’s death, payment, if any, under the Plan shall be made to his or her designated beneficiary, or in the event no beneficiary is designated or surviving, to the participant’s estate.</w:t>
      </w:r>
    </w:p>
    <w:p>
      <w:pPr>
        <w:spacing w:after="0" w:line="159" w:lineRule="exact"/>
        <w:rPr>
          <w:rFonts w:ascii="Arial" w:cs="Arial" w:eastAsia="Arial" w:hAnsi="Arial"/>
          <w:sz w:val="19"/>
          <w:szCs w:val="19"/>
          <w:color w:val="auto"/>
        </w:rPr>
      </w:pPr>
    </w:p>
    <w:p>
      <w:pPr>
        <w:ind w:left="620" w:hanging="255"/>
        <w:spacing w:after="0"/>
        <w:tabs>
          <w:tab w:leader="none" w:pos="6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Neither this Plan nor any action taken hereunder shall be construed as giving any employee any right to be retained in the employ of Foot</w:t>
      </w:r>
    </w:p>
    <w:p>
      <w:pPr>
        <w:spacing w:after="0" w:line="5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Locker.</w:t>
      </w:r>
    </w:p>
    <w:p>
      <w:pPr>
        <w:spacing w:after="0" w:line="103" w:lineRule="exact"/>
        <w:rPr>
          <w:rFonts w:ascii="Arial" w:cs="Arial" w:eastAsia="Arial" w:hAnsi="Arial"/>
          <w:sz w:val="17"/>
          <w:szCs w:val="17"/>
          <w:color w:val="auto"/>
        </w:rPr>
      </w:pPr>
    </w:p>
    <w:p>
      <w:pPr>
        <w:ind w:right="300" w:firstLine="365"/>
        <w:spacing w:after="0" w:line="283" w:lineRule="auto"/>
        <w:tabs>
          <w:tab w:leader="none" w:pos="632" w:val="left"/>
        </w:tabs>
        <w:numPr>
          <w:ilvl w:val="0"/>
          <w:numId w:val="73"/>
        </w:numPr>
        <w:rPr>
          <w:rFonts w:ascii="Arial" w:cs="Arial" w:eastAsia="Arial" w:hAnsi="Arial"/>
          <w:sz w:val="19"/>
          <w:szCs w:val="19"/>
          <w:color w:val="auto"/>
        </w:rPr>
      </w:pPr>
      <w:r>
        <w:rPr>
          <w:rFonts w:ascii="Arial" w:cs="Arial" w:eastAsia="Arial" w:hAnsi="Arial"/>
          <w:sz w:val="19"/>
          <w:szCs w:val="19"/>
          <w:color w:val="auto"/>
        </w:rPr>
        <w:t>Foot Locker shall have the right to make such provisions as it deems necessary or appropriate to satisfy any obligations it may have to withhold federal, state or local income or other taxes incurred by reason of payments made pursuant to the Plan.</w:t>
      </w:r>
    </w:p>
    <w:p>
      <w:pPr>
        <w:spacing w:after="0" w:line="51" w:lineRule="exact"/>
        <w:rPr>
          <w:rFonts w:ascii="Arial" w:cs="Arial" w:eastAsia="Arial" w:hAnsi="Arial"/>
          <w:sz w:val="19"/>
          <w:szCs w:val="19"/>
          <w:color w:val="auto"/>
        </w:rPr>
      </w:pPr>
    </w:p>
    <w:p>
      <w:pPr>
        <w:ind w:firstLine="365"/>
        <w:spacing w:after="0" w:line="262" w:lineRule="auto"/>
        <w:tabs>
          <w:tab w:leader="none" w:pos="621" w:val="left"/>
        </w:tabs>
        <w:numPr>
          <w:ilvl w:val="0"/>
          <w:numId w:val="73"/>
        </w:numPr>
        <w:rPr>
          <w:rFonts w:ascii="Arial" w:cs="Arial" w:eastAsia="Arial" w:hAnsi="Arial"/>
          <w:sz w:val="19"/>
          <w:szCs w:val="19"/>
          <w:color w:val="auto"/>
        </w:rPr>
      </w:pPr>
      <w:r>
        <w:rPr>
          <w:rFonts w:ascii="Arial" w:cs="Arial" w:eastAsia="Arial" w:hAnsi="Arial"/>
          <w:sz w:val="19"/>
          <w:szCs w:val="19"/>
          <w:color w:val="auto"/>
        </w:rPr>
        <w:t>While Foot Locker does not guarantee any particular tax treatment, the Plan is designed and intended to comply with the short-term deferral rules under Section 409A of the Code and the applicable regulations thereunder and shall be limited, construed and interpreted with such intent. All amounts payable under the Plan shall be payable within the short-term deferral period in accordance with Section 409A and regulations issued thereunder.</w:t>
      </w:r>
    </w:p>
    <w:p>
      <w:pPr>
        <w:spacing w:after="0" w:line="72" w:lineRule="exact"/>
        <w:rPr>
          <w:rFonts w:ascii="Arial" w:cs="Arial" w:eastAsia="Arial" w:hAnsi="Arial"/>
          <w:sz w:val="19"/>
          <w:szCs w:val="19"/>
          <w:color w:val="auto"/>
        </w:rPr>
      </w:pPr>
    </w:p>
    <w:p>
      <w:pPr>
        <w:ind w:right="40" w:firstLine="365"/>
        <w:spacing w:after="0" w:line="283" w:lineRule="auto"/>
        <w:tabs>
          <w:tab w:leader="none" w:pos="6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Plan is designed and intended to comply with Section 162(m) of the Code with regard to awards made to Covered Employees, and all provisions hereof shall be limited, construed and interpreted in a manner so to comply.</w:t>
      </w:r>
    </w:p>
    <w:p>
      <w:pPr>
        <w:spacing w:after="0" w:line="51" w:lineRule="exact"/>
        <w:rPr>
          <w:rFonts w:ascii="Arial" w:cs="Arial" w:eastAsia="Arial" w:hAnsi="Arial"/>
          <w:sz w:val="19"/>
          <w:szCs w:val="19"/>
          <w:color w:val="auto"/>
        </w:rPr>
      </w:pPr>
    </w:p>
    <w:p>
      <w:pPr>
        <w:ind w:right="20" w:firstLine="365"/>
        <w:spacing w:after="0" w:line="277" w:lineRule="auto"/>
        <w:tabs>
          <w:tab w:leader="none" w:pos="6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Board or the Committee may at any time and from time to time alter, amend, suspend or terminate the Plan in whole or in part; provided, that, no amendment which requires shareholder approval in order for the Plan to continue to comply with the exception for performance based compensation under Section 162(m) of the Code shall be effective unless the same shall be approved by the requisite vote of the shareholders of Foot Locker as determined under Section 162(m) of the Code. Notwithstanding the foregoing, no amendment shall affect adversely any of the rights of any participant, without such participant’s consent, under the award theretofore granted under the Plan.</w:t>
      </w:r>
    </w:p>
    <w:p>
      <w:pPr>
        <w:spacing w:after="0" w:line="61" w:lineRule="exact"/>
        <w:rPr>
          <w:rFonts w:ascii="Arial" w:cs="Arial" w:eastAsia="Arial" w:hAnsi="Arial"/>
          <w:sz w:val="18"/>
          <w:szCs w:val="18"/>
          <w:color w:val="auto"/>
        </w:rPr>
      </w:pPr>
    </w:p>
    <w:p>
      <w:pPr>
        <w:ind w:left="640" w:hanging="275"/>
        <w:spacing w:after="0"/>
        <w:tabs>
          <w:tab w:leader="none" w:pos="6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Plan shall be binding on Foot Locker and its successors by operation of law.</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71" w:name="page72"/>
    <w:bookmarkEnd w:id="71"/>
    <w:p>
      <w:pPr>
        <w:ind w:left="3240"/>
        <w:spacing w:after="0"/>
        <w:rPr>
          <w:sz w:val="20"/>
          <w:szCs w:val="20"/>
          <w:color w:val="auto"/>
        </w:rPr>
      </w:pPr>
      <w:r>
        <w:rPr>
          <w:rFonts w:ascii="Arial" w:cs="Arial" w:eastAsia="Arial" w:hAnsi="Arial"/>
          <w:sz w:val="19"/>
          <w:szCs w:val="19"/>
          <w:color w:val="auto"/>
        </w:rPr>
        <w:t>YOUR VOTE IS IMPORTANT</w:t>
      </w:r>
    </w:p>
    <w:p>
      <w:pPr>
        <w:ind w:left="3180"/>
        <w:spacing w:after="0"/>
        <w:rPr>
          <w:sz w:val="20"/>
          <w:szCs w:val="20"/>
          <w:color w:val="auto"/>
        </w:rPr>
      </w:pPr>
      <w:r>
        <w:rPr>
          <w:rFonts w:ascii="Arial" w:cs="Arial" w:eastAsia="Arial" w:hAnsi="Arial"/>
          <w:sz w:val="19"/>
          <w:szCs w:val="19"/>
          <w:color w:val="auto"/>
        </w:rPr>
        <w:t>PLEASE VOTE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562610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1858645</wp:posOffset>
            </wp:positionH>
            <wp:positionV relativeFrom="paragraph">
              <wp:posOffset>204470</wp:posOffset>
            </wp:positionV>
            <wp:extent cx="2015490" cy="222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15490" cy="222885"/>
                    </a:xfrm>
                    <a:prstGeom prst="rect">
                      <a:avLst/>
                    </a:prstGeom>
                    <a:noFill/>
                  </pic:spPr>
                </pic:pic>
              </a:graphicData>
            </a:graphic>
          </wp:anchor>
        </w:drawing>
      </w:r>
    </w:p>
    <w:p>
      <w:pPr>
        <w:sectPr>
          <w:pgSz w:w="11900" w:h="16838" w:orient="portrait"/>
          <w:cols w:equalWidth="0" w:num="1">
            <w:col w:w="9019"/>
          </w:cols>
          <w:pgMar w:left="1440" w:top="137" w:right="1440" w:bottom="1440" w:gutter="0" w:footer="0" w:header="0"/>
        </w:sectPr>
      </w:pPr>
    </w:p>
    <w:bookmarkStart w:id="72" w:name="page73"/>
    <w:bookmarkEnd w:id="72"/>
    <w:p>
      <w:pPr>
        <w:spacing w:after="0" w:line="185" w:lineRule="auto"/>
        <w:framePr w:w="1420" w:h="240" w:wrap="auto" w:vAnchor="page" w:hAnchor="page" w:x="1760" w:y="15377"/>
        <w:rPr>
          <w:rFonts w:ascii="Arial" w:cs="Arial" w:eastAsia="Arial" w:hAnsi="Arial"/>
          <w:sz w:val="15"/>
          <w:szCs w:val="15"/>
          <w:color w:val="auto"/>
        </w:rPr>
      </w:pPr>
      <w:r>
        <w:rPr>
          <w:rFonts w:ascii="Arial" w:cs="Arial" w:eastAsia="Arial" w:hAnsi="Arial"/>
          <w:sz w:val="15"/>
          <w:szCs w:val="15"/>
          <w:color w:val="auto"/>
        </w:rPr>
        <w:t xml:space="preserve">Choose </w:t>
      </w:r>
      <w:r>
        <w:rPr>
          <w:rFonts w:ascii="Arial" w:cs="Arial" w:eastAsia="Arial" w:hAnsi="Arial"/>
          <w:sz w:val="15"/>
          <w:szCs w:val="15"/>
          <w:b w:val="1"/>
          <w:bCs w:val="1"/>
          <w:color w:val="auto"/>
        </w:rPr>
        <w:t>MLink</w:t>
      </w:r>
      <w:r>
        <w:rPr>
          <w:rFonts w:ascii="Arial" w:cs="Arial" w:eastAsia="Arial" w:hAnsi="Arial"/>
          <w:sz w:val="27"/>
          <w:szCs w:val="27"/>
          <w:b w:val="1"/>
          <w:bCs w:val="1"/>
          <w:color w:val="auto"/>
          <w:vertAlign w:val="superscript"/>
        </w:rPr>
        <w:t>SM</w:t>
      </w: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40" w:type="dxa"/>
            <w:vAlign w:val="bottom"/>
          </w:tcPr>
          <w:p>
            <w:pPr>
              <w:ind w:left="740"/>
              <w:spacing w:after="0"/>
              <w:rPr>
                <w:sz w:val="20"/>
                <w:szCs w:val="20"/>
                <w:color w:val="auto"/>
              </w:rPr>
            </w:pPr>
            <w:r>
              <w:rPr>
                <w:rFonts w:ascii="Arial" w:cs="Arial" w:eastAsia="Arial" w:hAnsi="Arial"/>
                <w:sz w:val="14"/>
                <w:szCs w:val="14"/>
                <w:color w:val="auto"/>
              </w:rPr>
              <w:t>Please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x</w:t>
            </w:r>
          </w:p>
        </w:tc>
        <w:tc>
          <w:tcPr>
            <w:tcW w:w="182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8"/>
              </w:rPr>
              <w:t>Votes must be indicated</w:t>
            </w:r>
          </w:p>
        </w:tc>
        <w:tc>
          <w:tcPr>
            <w:tcW w:w="6360" w:type="dxa"/>
            <w:vAlign w:val="bottom"/>
          </w:tcPr>
          <w:p>
            <w:pPr>
              <w:spacing w:after="0"/>
              <w:rPr>
                <w:sz w:val="12"/>
                <w:szCs w:val="12"/>
                <w:color w:val="auto"/>
              </w:rPr>
            </w:pPr>
          </w:p>
        </w:tc>
        <w:tc>
          <w:tcPr>
            <w:tcW w:w="2040" w:type="dxa"/>
            <w:vAlign w:val="bottom"/>
          </w:tcPr>
          <w:p>
            <w:pPr>
              <w:ind w:left="740"/>
              <w:spacing w:after="0" w:line="149" w:lineRule="exact"/>
              <w:rPr>
                <w:sz w:val="20"/>
                <w:szCs w:val="20"/>
                <w:color w:val="auto"/>
              </w:rPr>
            </w:pPr>
            <w:r>
              <w:rPr>
                <w:rFonts w:ascii="Arial" w:cs="Arial" w:eastAsia="Arial" w:hAnsi="Arial"/>
                <w:sz w:val="14"/>
                <w:szCs w:val="14"/>
                <w:color w:val="auto"/>
              </w:rPr>
              <w:t>Mark Here</w:t>
            </w:r>
          </w:p>
        </w:tc>
        <w:tc>
          <w:tcPr>
            <w:tcW w:w="0" w:type="dxa"/>
            <w:vAlign w:val="bottom"/>
          </w:tcPr>
          <w:p>
            <w:pPr>
              <w:spacing w:after="0"/>
              <w:rPr>
                <w:sz w:val="1"/>
                <w:szCs w:val="1"/>
                <w:color w:val="auto"/>
              </w:rPr>
            </w:pPr>
          </w:p>
        </w:tc>
      </w:tr>
      <w:tr>
        <w:trPr>
          <w:trHeight w:val="147"/>
        </w:trPr>
        <w:tc>
          <w:tcPr>
            <w:tcW w:w="38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63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Mark, Sign, Date and Return the Proxy Card Promptly Using the Enclosed Envelope.</w:t>
            </w:r>
          </w:p>
        </w:tc>
        <w:tc>
          <w:tcPr>
            <w:tcW w:w="2040" w:type="dxa"/>
            <w:vAlign w:val="bottom"/>
          </w:tcPr>
          <w:p>
            <w:pPr>
              <w:ind w:left="740"/>
              <w:spacing w:after="0" w:line="147" w:lineRule="exact"/>
              <w:rPr>
                <w:sz w:val="20"/>
                <w:szCs w:val="20"/>
                <w:color w:val="auto"/>
              </w:rPr>
            </w:pPr>
            <w:r>
              <w:rPr>
                <w:rFonts w:ascii="Arial" w:cs="Arial" w:eastAsia="Arial" w:hAnsi="Arial"/>
                <w:sz w:val="14"/>
                <w:szCs w:val="14"/>
                <w:color w:val="auto"/>
              </w:rPr>
              <w:t>for Address Change</w:t>
            </w:r>
          </w:p>
        </w:tc>
        <w:tc>
          <w:tcPr>
            <w:tcW w:w="0" w:type="dxa"/>
            <w:vAlign w:val="bottom"/>
          </w:tcPr>
          <w:p>
            <w:pPr>
              <w:spacing w:after="0"/>
              <w:rPr>
                <w:sz w:val="1"/>
                <w:szCs w:val="1"/>
                <w:color w:val="auto"/>
              </w:rPr>
            </w:pPr>
          </w:p>
        </w:tc>
      </w:tr>
      <w:tr>
        <w:trPr>
          <w:trHeight w:val="145"/>
        </w:trPr>
        <w:tc>
          <w:tcPr>
            <w:tcW w:w="380" w:type="dxa"/>
            <w:vAlign w:val="bottom"/>
            <w:vMerge w:val="continue"/>
          </w:tcPr>
          <w:p>
            <w:pPr>
              <w:spacing w:after="0"/>
              <w:rPr>
                <w:sz w:val="12"/>
                <w:szCs w:val="12"/>
                <w:color w:val="auto"/>
              </w:rPr>
            </w:pPr>
          </w:p>
        </w:tc>
        <w:tc>
          <w:tcPr>
            <w:tcW w:w="182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(x) in Black or Blue ink.</w:t>
            </w:r>
          </w:p>
        </w:tc>
        <w:tc>
          <w:tcPr>
            <w:tcW w:w="6360" w:type="dxa"/>
            <w:vAlign w:val="bottom"/>
            <w:vMerge w:val="continue"/>
          </w:tcPr>
          <w:p>
            <w:pPr>
              <w:spacing w:after="0"/>
              <w:rPr>
                <w:sz w:val="12"/>
                <w:szCs w:val="12"/>
                <w:color w:val="auto"/>
              </w:rPr>
            </w:pPr>
          </w:p>
        </w:tc>
        <w:tc>
          <w:tcPr>
            <w:tcW w:w="2040" w:type="dxa"/>
            <w:vAlign w:val="bottom"/>
          </w:tcPr>
          <w:p>
            <w:pPr>
              <w:ind w:left="740"/>
              <w:spacing w:after="0" w:line="145" w:lineRule="exact"/>
              <w:rPr>
                <w:sz w:val="20"/>
                <w:szCs w:val="20"/>
                <w:color w:val="auto"/>
              </w:rPr>
            </w:pPr>
            <w:r>
              <w:rPr>
                <w:rFonts w:ascii="Arial" w:cs="Arial" w:eastAsia="Arial" w:hAnsi="Arial"/>
                <w:sz w:val="14"/>
                <w:szCs w:val="14"/>
                <w:color w:val="auto"/>
              </w:rPr>
              <w:t>or Comments</w:t>
            </w: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040" w:type="dxa"/>
            <w:vAlign w:val="bottom"/>
          </w:tcPr>
          <w:p>
            <w:pPr>
              <w:ind w:left="740"/>
              <w:spacing w:after="0"/>
              <w:rPr>
                <w:sz w:val="20"/>
                <w:szCs w:val="20"/>
                <w:color w:val="auto"/>
              </w:rPr>
            </w:pPr>
            <w:r>
              <w:rPr>
                <w:rFonts w:ascii="Arial" w:cs="Arial" w:eastAsia="Arial" w:hAnsi="Arial"/>
                <w:sz w:val="14"/>
                <w:szCs w:val="14"/>
                <w:b w:val="1"/>
                <w:bCs w:val="1"/>
                <w:color w:val="auto"/>
                <w:w w:val="94"/>
              </w:rPr>
              <w:t>SEE REVERSE SIDE</w:t>
            </w:r>
          </w:p>
        </w:tc>
        <w:tc>
          <w:tcPr>
            <w:tcW w:w="0" w:type="dxa"/>
            <w:vAlign w:val="bottom"/>
          </w:tcPr>
          <w:p>
            <w:pPr>
              <w:spacing w:after="0"/>
              <w:rPr>
                <w:sz w:val="1"/>
                <w:szCs w:val="1"/>
                <w:color w:val="auto"/>
              </w:rPr>
            </w:pPr>
          </w:p>
        </w:tc>
      </w:tr>
    </w:tbl>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6703060</wp:posOffset>
            </wp:positionH>
            <wp:positionV relativeFrom="paragraph">
              <wp:posOffset>-479425</wp:posOffset>
            </wp:positionV>
            <wp:extent cx="342900" cy="3429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51"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4"/>
          <w:szCs w:val="14"/>
          <w:b w:val="1"/>
          <w:bCs w:val="1"/>
          <w:color w:val="auto"/>
        </w:rPr>
        <w:t>DIRECTORS RECOMMEND A VOTE “FOR” PROPOSALS 1, 2 AND 3.</w:t>
      </w:r>
    </w:p>
    <w:p>
      <w:pPr>
        <w:sectPr>
          <w:pgSz w:w="11900" w:h="16838" w:orient="portrait"/>
          <w:cols w:equalWidth="0" w:num="1">
            <w:col w:w="11420"/>
          </w:cols>
          <w:pgMar w:left="240" w:top="116" w:right="239" w:bottom="92" w:gutter="0" w:footer="0" w:header="0"/>
        </w:sectPr>
      </w:pPr>
    </w:p>
    <w:p>
      <w:pPr>
        <w:spacing w:after="0" w:line="300" w:lineRule="exact"/>
        <w:rPr>
          <w:rFonts w:ascii="Arial" w:cs="Arial" w:eastAsia="Arial" w:hAnsi="Arial"/>
          <w:sz w:val="15"/>
          <w:szCs w:val="15"/>
          <w:color w:val="auto"/>
        </w:rPr>
      </w:pPr>
    </w:p>
    <w:p>
      <w:pPr>
        <w:ind w:left="280" w:hanging="272"/>
        <w:spacing w:after="0"/>
        <w:tabs>
          <w:tab w:leader="none" w:pos="2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80" w:lineRule="exact"/>
        <w:rPr>
          <w:rFonts w:ascii="Arial" w:cs="Arial" w:eastAsia="Arial" w:hAnsi="Arial"/>
          <w:sz w:val="15"/>
          <w:szCs w:val="15"/>
          <w:color w:val="auto"/>
        </w:rPr>
      </w:pPr>
    </w:p>
    <w:p>
      <w:pPr>
        <w:ind w:left="2160"/>
        <w:spacing w:after="0"/>
        <w:tabs>
          <w:tab w:leader="none" w:pos="2800" w:val="left"/>
        </w:tabs>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all</w:t>
      </w:r>
      <w:r>
        <w:rPr>
          <w:rFonts w:ascii="Arial" w:cs="Arial" w:eastAsia="Arial" w:hAnsi="Arial"/>
          <w:sz w:val="14"/>
          <w:szCs w:val="14"/>
          <w:b w:val="1"/>
          <w:bCs w:val="1"/>
          <w:color w:val="auto"/>
        </w:rPr>
        <w:tab/>
        <w:t>WITHHOLD AUTHORITY</w:t>
      </w:r>
    </w:p>
    <w:p>
      <w:pPr>
        <w:spacing w:after="0" w:line="84" w:lineRule="exact"/>
        <w:rPr>
          <w:rFonts w:ascii="Arial" w:cs="Arial" w:eastAsia="Arial" w:hAnsi="Arial"/>
          <w:sz w:val="15"/>
          <w:szCs w:val="15"/>
          <w:color w:val="auto"/>
        </w:rPr>
      </w:pPr>
    </w:p>
    <w:p>
      <w:pPr>
        <w:ind w:left="280"/>
        <w:spacing w:after="0"/>
        <w:tabs>
          <w:tab w:leader="none" w:pos="2100" w:val="left"/>
          <w:tab w:leader="none" w:pos="2980" w:val="left"/>
          <w:tab w:leader="none" w:pos="4540" w:val="left"/>
        </w:tabs>
        <w:rPr>
          <w:sz w:val="20"/>
          <w:szCs w:val="20"/>
          <w:color w:val="auto"/>
        </w:rPr>
      </w:pPr>
      <w:r>
        <w:rPr>
          <w:rFonts w:ascii="Arial" w:cs="Arial" w:eastAsia="Arial" w:hAnsi="Arial"/>
          <w:sz w:val="14"/>
          <w:szCs w:val="14"/>
          <w:color w:val="FF4F4F"/>
        </w:rPr>
        <w:t>NOMINEES FOR</w:t>
      </w:r>
      <w:r>
        <w:rPr>
          <w:sz w:val="20"/>
          <w:szCs w:val="20"/>
          <w:color w:val="auto"/>
        </w:rPr>
        <w:tab/>
      </w:r>
      <w:r>
        <w:rPr>
          <w:rFonts w:ascii="Arial" w:cs="Arial" w:eastAsia="Arial" w:hAnsi="Arial"/>
          <w:sz w:val="14"/>
          <w:szCs w:val="14"/>
          <w:color w:val="auto"/>
        </w:rPr>
        <w:t>nominees</w:t>
      </w:r>
      <w:r>
        <w:rPr>
          <w:sz w:val="20"/>
          <w:szCs w:val="20"/>
          <w:color w:val="auto"/>
        </w:rPr>
        <w:tab/>
      </w:r>
      <w:r>
        <w:rPr>
          <w:rFonts w:ascii="Arial" w:cs="Arial" w:eastAsia="Arial" w:hAnsi="Arial"/>
          <w:sz w:val="14"/>
          <w:szCs w:val="14"/>
          <w:color w:val="auto"/>
        </w:rPr>
        <w:t>to vote for all nominees</w:t>
      </w:r>
      <w:r>
        <w:rPr>
          <w:sz w:val="20"/>
          <w:szCs w:val="20"/>
          <w:color w:val="auto"/>
        </w:rPr>
        <w:tab/>
      </w:r>
      <w:r>
        <w:rPr>
          <w:rFonts w:ascii="Arial" w:cs="Arial" w:eastAsia="Arial" w:hAnsi="Arial"/>
          <w:sz w:val="12"/>
          <w:szCs w:val="12"/>
          <w:color w:val="auto"/>
        </w:rPr>
        <w:t>EXCEPTIONS*</w:t>
      </w:r>
    </w:p>
    <w:p>
      <w:pPr>
        <w:spacing w:after="0" w:line="82" w:lineRule="exact"/>
        <w:rPr>
          <w:rFonts w:ascii="Arial" w:cs="Arial" w:eastAsia="Arial" w:hAnsi="Arial"/>
          <w:sz w:val="15"/>
          <w:szCs w:val="15"/>
          <w:color w:val="auto"/>
        </w:rPr>
      </w:pPr>
    </w:p>
    <w:p>
      <w:pPr>
        <w:ind w:left="280"/>
        <w:spacing w:after="0"/>
        <w:tabs>
          <w:tab w:leader="none" w:pos="2040" w:val="left"/>
          <w:tab w:leader="none" w:pos="3300" w:val="left"/>
        </w:tabs>
        <w:rPr>
          <w:sz w:val="20"/>
          <w:szCs w:val="20"/>
          <w:color w:val="auto"/>
        </w:rPr>
      </w:pPr>
      <w:r>
        <w:rPr>
          <w:rFonts w:ascii="Arial" w:cs="Arial" w:eastAsia="Arial" w:hAnsi="Arial"/>
          <w:sz w:val="14"/>
          <w:szCs w:val="14"/>
          <w:color w:val="FF4F4F"/>
        </w:rPr>
        <w:t>3-YEAR TERMS:</w:t>
      </w:r>
      <w:r>
        <w:rPr>
          <w:sz w:val="20"/>
          <w:szCs w:val="20"/>
          <w:color w:val="auto"/>
        </w:rPr>
        <w:tab/>
      </w:r>
      <w:r>
        <w:rPr>
          <w:rFonts w:ascii="Arial" w:cs="Arial" w:eastAsia="Arial" w:hAnsi="Arial"/>
          <w:sz w:val="14"/>
          <w:szCs w:val="14"/>
          <w:color w:val="auto"/>
        </w:rPr>
        <w:t>listed below</w:t>
      </w:r>
      <w:r>
        <w:rPr>
          <w:sz w:val="20"/>
          <w:szCs w:val="20"/>
          <w:color w:val="auto"/>
        </w:rPr>
        <w:tab/>
      </w:r>
      <w:r>
        <w:rPr>
          <w:rFonts w:ascii="Arial" w:cs="Arial" w:eastAsia="Arial" w:hAnsi="Arial"/>
          <w:sz w:val="12"/>
          <w:szCs w:val="12"/>
          <w:color w:val="auto"/>
        </w:rPr>
        <w:t>listed below</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1377315</wp:posOffset>
            </wp:positionH>
            <wp:positionV relativeFrom="paragraph">
              <wp:posOffset>-635</wp:posOffset>
            </wp:positionV>
            <wp:extent cx="274320"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4320" cy="30861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-635</wp:posOffset>
            </wp:positionV>
            <wp:extent cx="274320"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4320" cy="308610"/>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-635</wp:posOffset>
            </wp:positionV>
            <wp:extent cx="274320"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4320" cy="308610"/>
                    </a:xfrm>
                    <a:prstGeom prst="rect">
                      <a:avLst/>
                    </a:prstGeom>
                    <a:noFill/>
                  </pic:spPr>
                </pic:pic>
              </a:graphicData>
            </a:graphic>
          </wp:anchor>
        </w:drawing>
      </w:r>
    </w:p>
    <w:p>
      <w:pPr>
        <w:spacing w:after="0" w:line="305" w:lineRule="exact"/>
        <w:rPr>
          <w:rFonts w:ascii="Arial" w:cs="Arial" w:eastAsia="Arial" w:hAnsi="Arial"/>
          <w:sz w:val="15"/>
          <w:szCs w:val="15"/>
          <w:color w:val="auto"/>
        </w:rPr>
      </w:pPr>
    </w:p>
    <w:p>
      <w:pPr>
        <w:ind w:left="280"/>
        <w:spacing w:after="0"/>
        <w:rPr>
          <w:sz w:val="20"/>
          <w:szCs w:val="20"/>
          <w:color w:val="auto"/>
        </w:rPr>
      </w:pPr>
      <w:r>
        <w:rPr>
          <w:rFonts w:ascii="Arial" w:cs="Arial" w:eastAsia="Arial" w:hAnsi="Arial"/>
          <w:sz w:val="14"/>
          <w:szCs w:val="14"/>
          <w:color w:val="FF4F4F"/>
        </w:rPr>
        <w:t>01 Nicholas DiPaolo</w:t>
      </w:r>
    </w:p>
    <w:p>
      <w:pPr>
        <w:spacing w:after="0" w:line="82" w:lineRule="exact"/>
        <w:rPr>
          <w:rFonts w:ascii="Arial" w:cs="Arial" w:eastAsia="Arial" w:hAnsi="Arial"/>
          <w:sz w:val="15"/>
          <w:szCs w:val="15"/>
          <w:color w:val="auto"/>
        </w:rPr>
      </w:pPr>
    </w:p>
    <w:p>
      <w:pPr>
        <w:ind w:left="280"/>
        <w:spacing w:after="0"/>
        <w:rPr>
          <w:sz w:val="20"/>
          <w:szCs w:val="20"/>
          <w:color w:val="auto"/>
        </w:rPr>
      </w:pPr>
      <w:r>
        <w:rPr>
          <w:rFonts w:ascii="Arial" w:cs="Arial" w:eastAsia="Arial" w:hAnsi="Arial"/>
          <w:sz w:val="14"/>
          <w:szCs w:val="14"/>
          <w:color w:val="FF4F4F"/>
        </w:rPr>
        <w:t>02 Matthew M. McKenna</w:t>
      </w:r>
    </w:p>
    <w:p>
      <w:pPr>
        <w:spacing w:after="0" w:line="231" w:lineRule="exact"/>
        <w:rPr>
          <w:rFonts w:ascii="Arial" w:cs="Arial" w:eastAsia="Arial" w:hAnsi="Arial"/>
          <w:sz w:val="15"/>
          <w:szCs w:val="15"/>
          <w:color w:val="auto"/>
        </w:rPr>
      </w:pPr>
    </w:p>
    <w:p>
      <w:pPr>
        <w:ind w:left="280" w:right="500"/>
        <w:spacing w:after="0" w:line="318" w:lineRule="auto"/>
        <w:rPr>
          <w:sz w:val="20"/>
          <w:szCs w:val="20"/>
          <w:color w:val="auto"/>
        </w:rPr>
      </w:pPr>
      <w:r>
        <w:rPr>
          <w:rFonts w:ascii="Arial" w:cs="Arial" w:eastAsia="Arial" w:hAnsi="Arial"/>
          <w:sz w:val="12"/>
          <w:szCs w:val="12"/>
          <w:color w:val="FF4F4F"/>
        </w:rPr>
        <w:t>(NSTRUCTIONS: To withhold authority to vote for any individual nominee, mark the “Exceptions” box and write that nominee’s name in the space provided below).</w:t>
      </w:r>
    </w:p>
    <w:p>
      <w:pPr>
        <w:spacing w:after="0" w:line="20" w:lineRule="exact"/>
        <w:rPr>
          <w:rFonts w:ascii="Arial" w:cs="Arial" w:eastAsia="Arial" w:hAnsi="Arial"/>
          <w:sz w:val="15"/>
          <w:szCs w:val="15"/>
          <w:color w:val="auto"/>
        </w:rPr>
      </w:pPr>
      <w:r>
        <w:rPr>
          <w:rFonts w:ascii="Arial" w:cs="Arial" w:eastAsia="Arial" w:hAnsi="Arial"/>
          <w:sz w:val="15"/>
          <w:szCs w:val="15"/>
          <w:color w:val="auto"/>
        </w:rPr>
        <w:br w:type="column"/>
      </w:r>
    </w:p>
    <w:p>
      <w:pPr>
        <w:spacing w:after="0" w:line="280" w:lineRule="exact"/>
        <w:rPr>
          <w:rFonts w:ascii="Arial" w:cs="Arial" w:eastAsia="Arial" w:hAnsi="Arial"/>
          <w:sz w:val="15"/>
          <w:szCs w:val="15"/>
          <w:color w:val="auto"/>
        </w:rPr>
      </w:pPr>
    </w:p>
    <w:p>
      <w:pPr>
        <w:ind w:left="3738"/>
        <w:spacing w:after="0"/>
        <w:tabs>
          <w:tab w:leader="none" w:pos="4157" w:val="left"/>
        </w:tabs>
        <w:rPr>
          <w:sz w:val="20"/>
          <w:szCs w:val="20"/>
          <w:color w:val="auto"/>
        </w:rPr>
      </w:pPr>
      <w:r>
        <w:rPr>
          <w:rFonts w:ascii="Arial" w:cs="Arial" w:eastAsia="Arial" w:hAnsi="Arial"/>
          <w:sz w:val="14"/>
          <w:szCs w:val="14"/>
          <w:color w:val="auto"/>
        </w:rPr>
        <w:t>FOR</w:t>
        <w:tab/>
        <w:t>AGAINST ABSTAIN</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2320290</wp:posOffset>
            </wp:positionH>
            <wp:positionV relativeFrom="paragraph">
              <wp:posOffset>0</wp:posOffset>
            </wp:positionV>
            <wp:extent cx="1080770" cy="308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80770" cy="308610"/>
                    </a:xfrm>
                    <a:prstGeom prst="rect">
                      <a:avLst/>
                    </a:prstGeom>
                    <a:noFill/>
                  </pic:spPr>
                </pic:pic>
              </a:graphicData>
            </a:graphic>
          </wp:anchor>
        </w:drawing>
      </w:r>
    </w:p>
    <w:p>
      <w:pPr>
        <w:ind w:left="278" w:right="1920" w:hanging="278"/>
        <w:spacing w:after="0" w:line="461" w:lineRule="auto"/>
        <w:tabs>
          <w:tab w:leader="none" w:pos="278" w:val="left"/>
        </w:tabs>
        <w:numPr>
          <w:ilvl w:val="0"/>
          <w:numId w:val="75"/>
        </w:numPr>
        <w:rPr>
          <w:rFonts w:ascii="Arial" w:cs="Arial" w:eastAsia="Arial" w:hAnsi="Arial"/>
          <w:sz w:val="12"/>
          <w:szCs w:val="12"/>
          <w:color w:val="auto"/>
        </w:rPr>
      </w:pPr>
      <w:r>
        <w:rPr>
          <w:rFonts w:ascii="Arial" w:cs="Arial" w:eastAsia="Arial" w:hAnsi="Arial"/>
          <w:sz w:val="12"/>
          <w:szCs w:val="12"/>
          <w:color w:val="auto"/>
        </w:rPr>
        <w:t>RATIFICATION OF APPOINTMENT OF INDEPENDENT REGISTERED PUBLIC ACCOUNTANTS.</w:t>
      </w:r>
    </w:p>
    <w:p>
      <w:pPr>
        <w:spacing w:after="0" w:line="187" w:lineRule="exact"/>
        <w:rPr>
          <w:rFonts w:ascii="Arial" w:cs="Arial" w:eastAsia="Arial" w:hAnsi="Arial"/>
          <w:sz w:val="15"/>
          <w:szCs w:val="15"/>
          <w:color w:val="auto"/>
        </w:rPr>
      </w:pPr>
    </w:p>
    <w:p>
      <w:pPr>
        <w:ind w:left="3738"/>
        <w:spacing w:after="0"/>
        <w:tabs>
          <w:tab w:leader="none" w:pos="4157" w:val="left"/>
        </w:tabs>
        <w:rPr>
          <w:sz w:val="20"/>
          <w:szCs w:val="20"/>
          <w:color w:val="auto"/>
        </w:rPr>
      </w:pPr>
      <w:r>
        <w:rPr>
          <w:rFonts w:ascii="Arial" w:cs="Arial" w:eastAsia="Arial" w:hAnsi="Arial"/>
          <w:sz w:val="14"/>
          <w:szCs w:val="14"/>
          <w:color w:val="auto"/>
        </w:rPr>
        <w:t>FOR</w:t>
        <w:tab/>
        <w:t>AGAINST ABSTAIN</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2320290</wp:posOffset>
            </wp:positionH>
            <wp:positionV relativeFrom="paragraph">
              <wp:posOffset>0</wp:posOffset>
            </wp:positionV>
            <wp:extent cx="1080770" cy="308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80770" cy="308610"/>
                    </a:xfrm>
                    <a:prstGeom prst="rect">
                      <a:avLst/>
                    </a:prstGeom>
                    <a:noFill/>
                  </pic:spPr>
                </pic:pic>
              </a:graphicData>
            </a:graphic>
          </wp:anchor>
        </w:drawing>
      </w:r>
    </w:p>
    <w:p>
      <w:pPr>
        <w:ind w:left="278" w:right="1880" w:hanging="278"/>
        <w:spacing w:after="0" w:line="461" w:lineRule="auto"/>
        <w:tabs>
          <w:tab w:leader="none" w:pos="278" w:val="left"/>
        </w:tabs>
        <w:numPr>
          <w:ilvl w:val="0"/>
          <w:numId w:val="76"/>
        </w:numPr>
        <w:rPr>
          <w:rFonts w:ascii="Arial" w:cs="Arial" w:eastAsia="Arial" w:hAnsi="Arial"/>
          <w:sz w:val="12"/>
          <w:szCs w:val="12"/>
          <w:color w:val="auto"/>
        </w:rPr>
      </w:pPr>
      <w:r>
        <w:rPr>
          <w:rFonts w:ascii="Arial" w:cs="Arial" w:eastAsia="Arial" w:hAnsi="Arial"/>
          <w:sz w:val="12"/>
          <w:szCs w:val="12"/>
          <w:color w:val="auto"/>
        </w:rPr>
        <w:t>APPROVAL OF ANNUAL INCENTIVE COMPENSATION PLAN, AS AMENDED AND RESTATED.</w:t>
      </w:r>
    </w:p>
    <w:p>
      <w:pPr>
        <w:spacing w:after="0" w:line="90" w:lineRule="exact"/>
        <w:rPr>
          <w:rFonts w:ascii="Arial" w:cs="Arial" w:eastAsia="Arial" w:hAnsi="Arial"/>
          <w:sz w:val="12"/>
          <w:szCs w:val="12"/>
          <w:color w:val="auto"/>
        </w:rPr>
      </w:pPr>
    </w:p>
    <w:p>
      <w:pPr>
        <w:jc w:val="both"/>
        <w:ind w:left="278" w:right="40"/>
        <w:spacing w:after="0" w:line="234" w:lineRule="auto"/>
        <w:rPr>
          <w:rFonts w:ascii="Arial" w:cs="Arial" w:eastAsia="Arial" w:hAnsi="Arial"/>
          <w:sz w:val="12"/>
          <w:szCs w:val="12"/>
          <w:color w:val="auto"/>
        </w:rPr>
      </w:pPr>
      <w:r>
        <w:rPr>
          <w:rFonts w:ascii="Arial" w:cs="Arial" w:eastAsia="Arial" w:hAnsi="Arial"/>
          <w:sz w:val="14"/>
          <w:szCs w:val="14"/>
          <w:b w:val="1"/>
          <w:bCs w:val="1"/>
          <w:color w:val="auto"/>
        </w:rPr>
        <w:t>THIS PROXY, WHEN PROPERLY EXECUTED, WILL BE VOTED IN THE MANNER DIRECTED HEREIN. IF NO DIRECTION IS MADE, THIS PROXY WILL BE VOTED FOR PROPOSALS 1, 2 AND 3.</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2698115</wp:posOffset>
            </wp:positionH>
            <wp:positionV relativeFrom="paragraph">
              <wp:posOffset>146685</wp:posOffset>
            </wp:positionV>
            <wp:extent cx="274320"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4320" cy="308610"/>
                    </a:xfrm>
                    <a:prstGeom prst="rect">
                      <a:avLst/>
                    </a:prstGeom>
                    <a:noFill/>
                  </pic:spPr>
                </pic:pic>
              </a:graphicData>
            </a:graphic>
          </wp:anchor>
        </w:drawing>
      </w:r>
    </w:p>
    <w:p>
      <w:pPr>
        <w:spacing w:after="0" w:line="285" w:lineRule="exact"/>
        <w:rPr>
          <w:rFonts w:ascii="Arial" w:cs="Arial" w:eastAsia="Arial" w:hAnsi="Arial"/>
          <w:sz w:val="15"/>
          <w:szCs w:val="15"/>
          <w:color w:val="auto"/>
        </w:rPr>
      </w:pPr>
    </w:p>
    <w:p>
      <w:pPr>
        <w:sectPr>
          <w:pgSz w:w="11900" w:h="16838" w:orient="portrait"/>
          <w:cols w:equalWidth="0" w:num="2">
            <w:col w:w="5460" w:space="482"/>
            <w:col w:w="5478"/>
          </w:cols>
          <w:pgMar w:left="240" w:top="116" w:right="239" w:bottom="92" w:gutter="0" w:footer="0" w:header="0"/>
          <w:type w:val="continuous"/>
        </w:sectPr>
      </w:pPr>
    </w:p>
    <w:p>
      <w:pPr>
        <w:spacing w:after="0" w:line="83" w:lineRule="exact"/>
        <w:rPr>
          <w:rFonts w:ascii="Arial" w:cs="Arial" w:eastAsia="Arial" w:hAnsi="Arial"/>
          <w:sz w:val="15"/>
          <w:szCs w:val="15"/>
          <w:color w:val="auto"/>
        </w:rPr>
      </w:pPr>
    </w:p>
    <w:p>
      <w:pPr>
        <w:ind w:left="280"/>
        <w:spacing w:after="0"/>
        <w:tabs>
          <w:tab w:leader="none" w:pos="8440" w:val="left"/>
        </w:tabs>
        <w:rPr>
          <w:sz w:val="20"/>
          <w:szCs w:val="20"/>
          <w:color w:val="auto"/>
        </w:rPr>
      </w:pPr>
      <w:r>
        <w:rPr>
          <w:rFonts w:ascii="Arial" w:cs="Arial" w:eastAsia="Arial" w:hAnsi="Arial"/>
          <w:sz w:val="14"/>
          <w:szCs w:val="14"/>
          <w:color w:val="FF4F4F"/>
        </w:rPr>
        <w:t>*Exceptions</w:t>
      </w:r>
      <w:r>
        <w:rPr>
          <w:sz w:val="20"/>
          <w:szCs w:val="20"/>
          <w:color w:val="auto"/>
        </w:rPr>
        <w:tab/>
      </w:r>
      <w:r>
        <w:rPr>
          <w:rFonts w:ascii="Arial" w:cs="Arial" w:eastAsia="Arial" w:hAnsi="Arial"/>
          <w:sz w:val="14"/>
          <w:szCs w:val="14"/>
          <w:color w:val="auto"/>
        </w:rPr>
        <w:t>I plan to attend meeting</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4430395</wp:posOffset>
            </wp:positionH>
            <wp:positionV relativeFrom="paragraph">
              <wp:posOffset>582295</wp:posOffset>
            </wp:positionV>
            <wp:extent cx="480060" cy="4546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0060" cy="45466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-8890</wp:posOffset>
            </wp:positionV>
            <wp:extent cx="22555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32" w:lineRule="exact"/>
        <w:rPr>
          <w:rFonts w:ascii="Arial" w:cs="Arial" w:eastAsia="Arial" w:hAnsi="Arial"/>
          <w:sz w:val="15"/>
          <w:szCs w:val="15"/>
          <w:color w:val="auto"/>
        </w:rPr>
      </w:pPr>
    </w:p>
    <w:p>
      <w:pPr>
        <w:spacing w:after="0"/>
        <w:tabs>
          <w:tab w:leader="none" w:pos="4140" w:val="left"/>
          <w:tab w:leader="none" w:pos="8300" w:val="left"/>
        </w:tabs>
        <w:rPr>
          <w:sz w:val="20"/>
          <w:szCs w:val="20"/>
          <w:color w:val="auto"/>
        </w:rPr>
      </w:pPr>
      <w:r>
        <w:rPr>
          <w:rFonts w:ascii="Arial" w:cs="Arial" w:eastAsia="Arial" w:hAnsi="Arial"/>
          <w:sz w:val="18"/>
          <w:szCs w:val="18"/>
          <w:b w:val="1"/>
          <w:bCs w:val="1"/>
          <w:color w:val="FF4F4F"/>
        </w:rPr>
        <w:t>Signature</w:t>
      </w:r>
      <w:r>
        <w:rPr>
          <w:sz w:val="20"/>
          <w:szCs w:val="20"/>
          <w:color w:val="auto"/>
        </w:rPr>
        <w:tab/>
      </w:r>
      <w:r>
        <w:rPr>
          <w:rFonts w:ascii="Arial" w:cs="Arial" w:eastAsia="Arial" w:hAnsi="Arial"/>
          <w:sz w:val="18"/>
          <w:szCs w:val="18"/>
          <w:b w:val="1"/>
          <w:bCs w:val="1"/>
          <w:color w:val="FF4F4F"/>
        </w:rPr>
        <w:t>Signature</w:t>
      </w:r>
      <w:r>
        <w:rPr>
          <w:sz w:val="20"/>
          <w:szCs w:val="20"/>
          <w:color w:val="auto"/>
        </w:rPr>
        <w:tab/>
      </w:r>
      <w:r>
        <w:rPr>
          <w:rFonts w:ascii="Arial" w:cs="Arial" w:eastAsia="Arial" w:hAnsi="Arial"/>
          <w:sz w:val="15"/>
          <w:szCs w:val="15"/>
          <w:b w:val="1"/>
          <w:bCs w:val="1"/>
          <w:color w:val="FF4F4F"/>
        </w:rPr>
        <w:t>Date</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528320</wp:posOffset>
            </wp:positionH>
            <wp:positionV relativeFrom="paragraph">
              <wp:posOffset>6350</wp:posOffset>
            </wp:positionV>
            <wp:extent cx="67233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00" w:lineRule="exact"/>
        <w:rPr>
          <w:rFonts w:ascii="Arial" w:cs="Arial" w:eastAsia="Arial" w:hAnsi="Arial"/>
          <w:sz w:val="15"/>
          <w:szCs w:val="15"/>
          <w:color w:val="auto"/>
        </w:rPr>
      </w:pPr>
    </w:p>
    <w:p>
      <w:pPr>
        <w:spacing w:after="0" w:line="250" w:lineRule="exact"/>
        <w:rPr>
          <w:rFonts w:ascii="Arial" w:cs="Arial" w:eastAsia="Arial" w:hAnsi="Arial"/>
          <w:sz w:val="15"/>
          <w:szCs w:val="15"/>
          <w:color w:val="auto"/>
        </w:rPr>
      </w:pPr>
    </w:p>
    <w:p>
      <w:pPr>
        <w:jc w:val="both"/>
        <w:ind w:right="140"/>
        <w:spacing w:after="0" w:line="234" w:lineRule="auto"/>
        <w:rPr>
          <w:sz w:val="20"/>
          <w:szCs w:val="20"/>
          <w:color w:val="auto"/>
        </w:rPr>
      </w:pPr>
      <w:r>
        <w:rPr>
          <w:rFonts w:ascii="Arial" w:cs="Arial" w:eastAsia="Arial" w:hAnsi="Arial"/>
          <w:sz w:val="14"/>
          <w:szCs w:val="14"/>
          <w:b w:val="1"/>
          <w:bCs w:val="1"/>
          <w:color w:val="FF4F4F"/>
        </w:rPr>
        <w:t>NOTE: Please sign exactly as name appears hereon. Joint owners should each sign. When signing as attorney, executor, administrator, trustee or guardian, give full title as such. If signing on behalf of a corporation, sign the full corporate name by authorized officer. The signer hereby revokes all proxies heretofore given by the signer to vote at the 2008 Annual Meeting of Shareholders of Foot Locker, Inc. and any adjournment or postponement thereof.</w:t>
      </w:r>
    </w:p>
    <w:p>
      <w:pPr>
        <w:spacing w:after="0" w:line="189" w:lineRule="exact"/>
        <w:rPr>
          <w:rFonts w:ascii="Arial" w:cs="Arial" w:eastAsia="Arial" w:hAnsi="Arial"/>
          <w:sz w:val="15"/>
          <w:szCs w:val="15"/>
          <w:color w:val="auto"/>
        </w:rPr>
      </w:pPr>
    </w:p>
    <w:p>
      <w:pPr>
        <w:ind w:left="20"/>
        <w:spacing w:after="0"/>
        <w:rPr>
          <w:sz w:val="20"/>
          <w:szCs w:val="20"/>
          <w:color w:val="auto"/>
        </w:rPr>
      </w:pPr>
      <w:r>
        <w:rPr>
          <w:rFonts w:ascii="Arial" w:cs="Arial" w:eastAsia="Arial" w:hAnsi="Arial"/>
          <w:sz w:val="16"/>
          <w:szCs w:val="16"/>
          <w:b w:val="1"/>
          <w:bCs w:val="1"/>
          <w:color w:val="auto"/>
        </w:rPr>
        <w:t>---------------------------------------------------------------------------------------------------------------------------------------------------------------------------------------------------</w:t>
      </w:r>
    </w:p>
    <w:p>
      <w:pPr>
        <w:spacing w:after="0" w:line="44" w:lineRule="exact"/>
        <w:rPr>
          <w:rFonts w:ascii="Arial" w:cs="Arial" w:eastAsia="Arial" w:hAnsi="Arial"/>
          <w:sz w:val="15"/>
          <w:szCs w:val="15"/>
          <w:color w:val="auto"/>
        </w:rPr>
      </w:pPr>
    </w:p>
    <w:p>
      <w:pPr>
        <w:ind w:left="5180"/>
        <w:spacing w:after="0"/>
        <w:rPr>
          <w:sz w:val="20"/>
          <w:szCs w:val="20"/>
          <w:color w:val="auto"/>
        </w:rPr>
      </w:pPr>
      <w:r>
        <w:rPr>
          <w:rFonts w:ascii="Arial" w:cs="Arial" w:eastAsia="Arial" w:hAnsi="Arial"/>
          <w:sz w:val="18"/>
          <w:szCs w:val="18"/>
          <w:b w:val="1"/>
          <w:bCs w:val="1"/>
          <w:color w:val="auto"/>
        </w:rPr>
        <w:t>------------------</w:t>
      </w:r>
    </w:p>
    <w:p>
      <w:pPr>
        <w:spacing w:after="0" w:line="19"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18"/>
          <w:szCs w:val="18"/>
          <w:b w:val="1"/>
          <w:bCs w:val="1"/>
          <w:color w:val="auto"/>
        </w:rPr>
        <w:t>5 FOLD AND DETACH HERE 5</w:t>
      </w:r>
    </w:p>
    <w:p>
      <w:pPr>
        <w:spacing w:after="0" w:line="212"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22"/>
          <w:szCs w:val="22"/>
          <w:b w:val="1"/>
          <w:bCs w:val="1"/>
          <w:color w:val="auto"/>
        </w:rPr>
        <w:t>WE ENCOURAGE YOU TO TAKE ADVANTAGE OF INTERNET OR TELEPHONE VOTING,</w:t>
      </w:r>
    </w:p>
    <w:p>
      <w:pPr>
        <w:spacing w:after="0" w:line="16"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22"/>
          <w:szCs w:val="22"/>
          <w:b w:val="1"/>
          <w:bCs w:val="1"/>
          <w:color w:val="auto"/>
        </w:rPr>
        <w:t>BOTH ARE AVAILABLE 24 HOURS A DAY, 7 DAYS A WEEK.</w:t>
      </w:r>
    </w:p>
    <w:p>
      <w:pPr>
        <w:spacing w:after="0" w:line="221"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18"/>
          <w:szCs w:val="18"/>
          <w:b w:val="1"/>
          <w:bCs w:val="1"/>
          <w:color w:val="FF4F4F"/>
        </w:rPr>
        <w:t>Internet and telephone voting are available through 9:00 A.M. Eastern Time</w:t>
      </w:r>
    </w:p>
    <w:p>
      <w:pPr>
        <w:spacing w:after="0" w:line="18"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18"/>
          <w:szCs w:val="18"/>
          <w:b w:val="1"/>
          <w:bCs w:val="1"/>
          <w:color w:val="FF4F4F"/>
        </w:rPr>
        <w:t>on the annual meeting day.</w:t>
      </w:r>
    </w:p>
    <w:p>
      <w:pPr>
        <w:spacing w:after="0" w:line="217"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w:t>
      </w:r>
    </w:p>
    <w:p>
      <w:pPr>
        <w:spacing w:after="0" w:line="18"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18"/>
          <w:szCs w:val="18"/>
          <w:b w:val="1"/>
          <w:bCs w:val="1"/>
          <w:color w:val="auto"/>
        </w:rPr>
        <w:t>as if you marked, signed and returned your proxy card.</w:t>
      </w:r>
    </w:p>
    <w:p>
      <w:pPr>
        <w:spacing w:after="0" w:line="185" w:lineRule="exact"/>
        <w:rPr>
          <w:rFonts w:ascii="Arial" w:cs="Arial" w:eastAsia="Arial" w:hAnsi="Arial"/>
          <w:sz w:val="15"/>
          <w:szCs w:val="15"/>
          <w:color w:val="auto"/>
        </w:rPr>
      </w:pPr>
    </w:p>
    <w:tbl>
      <w:tblPr>
        <w:tblLayout w:type="fixed"/>
        <w:tblInd w:w="1150" w:type="dxa"/>
        <w:tblCellMar>
          <w:top w:w="0" w:type="dxa"/>
          <w:left w:w="0" w:type="dxa"/>
          <w:bottom w:w="0" w:type="dxa"/>
          <w:right w:w="0" w:type="dxa"/>
        </w:tblCellMar>
      </w:tblPr>
      <w:tr>
        <w:trPr>
          <w:trHeight w:val="470"/>
        </w:trPr>
        <w:tc>
          <w:tcPr>
            <w:tcW w:w="35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FF4F4F"/>
                <w:w w:val="98"/>
              </w:rPr>
              <w:t>INTERNET</w:t>
            </w:r>
          </w:p>
        </w:tc>
        <w:tc>
          <w:tcPr>
            <w:tcW w:w="2400" w:type="dxa"/>
            <w:vAlign w:val="bottom"/>
            <w:tcBorders>
              <w:right w:val="single" w:sz="8" w:color="auto"/>
            </w:tcBorders>
          </w:tcPr>
          <w:p>
            <w:pPr>
              <w:spacing w:after="0"/>
              <w:rPr>
                <w:sz w:val="24"/>
                <w:szCs w:val="24"/>
                <w:color w:val="auto"/>
              </w:rPr>
            </w:pPr>
          </w:p>
        </w:tc>
        <w:tc>
          <w:tcPr>
            <w:tcW w:w="3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FF4F4F"/>
                <w:w w:val="98"/>
              </w:rPr>
              <w:t>TELEPHONE</w:t>
            </w:r>
          </w:p>
        </w:tc>
      </w:tr>
      <w:tr>
        <w:trPr>
          <w:trHeight w:val="286"/>
        </w:trPr>
        <w:tc>
          <w:tcPr>
            <w:tcW w:w="3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FF4F4F"/>
                <w:w w:val="97"/>
              </w:rPr>
              <w:t>http://www.eproxy.com/fl</w:t>
            </w:r>
          </w:p>
        </w:tc>
        <w:tc>
          <w:tcPr>
            <w:tcW w:w="2400" w:type="dxa"/>
            <w:vAlign w:val="bottom"/>
            <w:tcBorders>
              <w:right w:val="single" w:sz="8" w:color="auto"/>
            </w:tcBorders>
          </w:tcPr>
          <w:p>
            <w:pPr>
              <w:spacing w:after="0"/>
              <w:rPr>
                <w:sz w:val="24"/>
                <w:szCs w:val="24"/>
                <w:color w:val="auto"/>
              </w:rPr>
            </w:pPr>
          </w:p>
        </w:tc>
        <w:tc>
          <w:tcPr>
            <w:tcW w:w="3200" w:type="dxa"/>
            <w:vAlign w:val="bottom"/>
            <w:tcBorders>
              <w:right w:val="single" w:sz="8" w:color="auto"/>
            </w:tcBorders>
          </w:tcPr>
          <w:p>
            <w:pPr>
              <w:jc w:val="right"/>
              <w:ind w:right="744"/>
              <w:spacing w:after="0"/>
              <w:rPr>
                <w:sz w:val="20"/>
                <w:szCs w:val="20"/>
                <w:color w:val="auto"/>
              </w:rPr>
            </w:pPr>
            <w:r>
              <w:rPr>
                <w:rFonts w:ascii="Arial" w:cs="Arial" w:eastAsia="Arial" w:hAnsi="Arial"/>
                <w:sz w:val="22"/>
                <w:szCs w:val="22"/>
                <w:b w:val="1"/>
                <w:bCs w:val="1"/>
                <w:color w:val="FF4F4F"/>
              </w:rPr>
              <w:t>1-866-580-9477</w:t>
            </w:r>
          </w:p>
        </w:tc>
      </w:tr>
      <w:tr>
        <w:trPr>
          <w:trHeight w:val="414"/>
        </w:trPr>
        <w:tc>
          <w:tcPr>
            <w:tcW w:w="35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Use the Internet to vote your proxy.</w:t>
            </w:r>
          </w:p>
        </w:tc>
        <w:tc>
          <w:tcPr>
            <w:tcW w:w="2400" w:type="dxa"/>
            <w:vAlign w:val="bottom"/>
            <w:tcBorders>
              <w:right w:val="single" w:sz="8" w:color="auto"/>
            </w:tcBorders>
          </w:tcPr>
          <w:p>
            <w:pPr>
              <w:ind w:left="1000"/>
              <w:spacing w:after="0"/>
              <w:rPr>
                <w:sz w:val="20"/>
                <w:szCs w:val="20"/>
                <w:color w:val="auto"/>
              </w:rPr>
            </w:pPr>
            <w:r>
              <w:rPr>
                <w:rFonts w:ascii="Arial" w:cs="Arial" w:eastAsia="Arial" w:hAnsi="Arial"/>
                <w:sz w:val="24"/>
                <w:szCs w:val="24"/>
                <w:b w:val="1"/>
                <w:bCs w:val="1"/>
                <w:color w:val="auto"/>
              </w:rPr>
              <w:t>OR</w:t>
            </w:r>
          </w:p>
        </w:tc>
        <w:tc>
          <w:tcPr>
            <w:tcW w:w="32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Use any touch-tone telephone to</w:t>
            </w:r>
          </w:p>
        </w:tc>
      </w:tr>
      <w:tr>
        <w:trPr>
          <w:trHeight w:val="216"/>
        </w:trPr>
        <w:tc>
          <w:tcPr>
            <w:tcW w:w="35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Have your proxy card in hand</w:t>
            </w:r>
          </w:p>
        </w:tc>
        <w:tc>
          <w:tcPr>
            <w:tcW w:w="2400" w:type="dxa"/>
            <w:vAlign w:val="bottom"/>
            <w:tcBorders>
              <w:right w:val="single" w:sz="8" w:color="auto"/>
            </w:tcBorders>
          </w:tcPr>
          <w:p>
            <w:pPr>
              <w:spacing w:after="0"/>
              <w:rPr>
                <w:sz w:val="18"/>
                <w:szCs w:val="18"/>
                <w:color w:val="auto"/>
              </w:rPr>
            </w:pPr>
          </w:p>
        </w:tc>
        <w:tc>
          <w:tcPr>
            <w:tcW w:w="32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vote your proxy. Have your proxy</w:t>
            </w:r>
          </w:p>
        </w:tc>
      </w:tr>
      <w:tr>
        <w:trPr>
          <w:trHeight w:val="222"/>
        </w:trPr>
        <w:tc>
          <w:tcPr>
            <w:tcW w:w="354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when you access the web site.</w:t>
            </w:r>
          </w:p>
        </w:tc>
        <w:tc>
          <w:tcPr>
            <w:tcW w:w="2400" w:type="dxa"/>
            <w:vAlign w:val="bottom"/>
            <w:tcBorders>
              <w:right w:val="single" w:sz="8" w:color="auto"/>
            </w:tcBorders>
          </w:tcPr>
          <w:p>
            <w:pPr>
              <w:spacing w:after="0"/>
              <w:rPr>
                <w:sz w:val="19"/>
                <w:szCs w:val="19"/>
                <w:color w:val="auto"/>
              </w:rPr>
            </w:pPr>
          </w:p>
        </w:tc>
        <w:tc>
          <w:tcPr>
            <w:tcW w:w="32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card in hand when you call.</w:t>
            </w:r>
          </w:p>
        </w:tc>
      </w:tr>
      <w:tr>
        <w:trPr>
          <w:trHeight w:val="458"/>
        </w:trPr>
        <w:tc>
          <w:tcPr>
            <w:tcW w:w="3540" w:type="dxa"/>
            <w:vAlign w:val="bottom"/>
            <w:tcBorders>
              <w:left w:val="single" w:sz="8" w:color="auto"/>
              <w:bottom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r>
    </w:tbl>
    <w:p>
      <w:pPr>
        <w:spacing w:after="0" w:line="204"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18"/>
          <w:szCs w:val="18"/>
          <w:color w:val="auto"/>
        </w:rPr>
        <w:t>If you vote your proxy by Internet or by telephone, you do NOT need to mail back your proxy card.</w:t>
      </w:r>
    </w:p>
    <w:p>
      <w:pPr>
        <w:spacing w:after="0" w:line="15" w:lineRule="exact"/>
        <w:rPr>
          <w:rFonts w:ascii="Arial" w:cs="Arial" w:eastAsia="Arial" w:hAnsi="Arial"/>
          <w:sz w:val="15"/>
          <w:szCs w:val="15"/>
          <w:color w:val="auto"/>
        </w:rPr>
      </w:pPr>
    </w:p>
    <w:p>
      <w:pPr>
        <w:jc w:val="center"/>
        <w:ind w:right="-19"/>
        <w:spacing w:after="0"/>
        <w:rPr>
          <w:sz w:val="20"/>
          <w:szCs w:val="20"/>
          <w:color w:val="auto"/>
        </w:rPr>
      </w:pPr>
      <w:r>
        <w:rPr>
          <w:rFonts w:ascii="Arial" w:cs="Arial" w:eastAsia="Arial" w:hAnsi="Arial"/>
          <w:sz w:val="18"/>
          <w:szCs w:val="18"/>
          <w:color w:val="auto"/>
        </w:rPr>
        <w:t>To vote by mail, mark, sign and date your proxy card and return it in the enclosed postage-paid envelope.</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0250" cy="7073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10250" cy="707390"/>
                    </a:xfrm>
                    <a:prstGeom prst="rect">
                      <a:avLst/>
                    </a:prstGeom>
                    <a:noFill/>
                  </pic:spPr>
                </pic:pic>
              </a:graphicData>
            </a:graphic>
          </wp:anchor>
        </w:drawing>
      </w:r>
    </w:p>
    <w:p>
      <w:pPr>
        <w:spacing w:after="0" w:line="200" w:lineRule="exact"/>
        <w:rPr>
          <w:rFonts w:ascii="Arial" w:cs="Arial" w:eastAsia="Arial" w:hAnsi="Arial"/>
          <w:sz w:val="15"/>
          <w:szCs w:val="15"/>
          <w:color w:val="auto"/>
        </w:rPr>
      </w:pPr>
    </w:p>
    <w:p>
      <w:pPr>
        <w:spacing w:after="0" w:line="228" w:lineRule="exact"/>
        <w:rPr>
          <w:rFonts w:ascii="Arial" w:cs="Arial" w:eastAsia="Arial" w:hAnsi="Arial"/>
          <w:sz w:val="15"/>
          <w:szCs w:val="15"/>
          <w:color w:val="auto"/>
        </w:rPr>
      </w:pPr>
    </w:p>
    <w:p>
      <w:pPr>
        <w:ind w:left="2960"/>
        <w:spacing w:after="0"/>
        <w:rPr>
          <w:sz w:val="20"/>
          <w:szCs w:val="20"/>
          <w:color w:val="auto"/>
        </w:rPr>
      </w:pPr>
      <w:r>
        <w:rPr>
          <w:rFonts w:ascii="Arial" w:cs="Arial" w:eastAsia="Arial" w:hAnsi="Arial"/>
          <w:sz w:val="18"/>
          <w:szCs w:val="18"/>
          <w:color w:val="auto"/>
        </w:rPr>
        <w:t>or fast, easy and secure 24/7 online access to your future proxy materials, investment plan</w:t>
      </w:r>
    </w:p>
    <w:p>
      <w:pPr>
        <w:spacing w:after="0" w:line="15" w:lineRule="exact"/>
        <w:rPr>
          <w:rFonts w:ascii="Arial" w:cs="Arial" w:eastAsia="Arial" w:hAnsi="Arial"/>
          <w:sz w:val="15"/>
          <w:szCs w:val="15"/>
          <w:color w:val="auto"/>
        </w:rPr>
      </w:pPr>
    </w:p>
    <w:p>
      <w:pPr>
        <w:ind w:left="1560" w:right="2380"/>
        <w:spacing w:after="0" w:line="223" w:lineRule="auto"/>
        <w:rPr>
          <w:sz w:val="20"/>
          <w:szCs w:val="20"/>
          <w:color w:val="auto"/>
        </w:rPr>
      </w:pPr>
      <w:r>
        <w:rPr>
          <w:rFonts w:ascii="Arial" w:cs="Arial" w:eastAsia="Arial" w:hAnsi="Arial"/>
          <w:sz w:val="16"/>
          <w:szCs w:val="16"/>
          <w:color w:val="auto"/>
        </w:rPr>
        <w:t xml:space="preserve">statements, tax documents and more. Simply log on to </w:t>
      </w:r>
      <w:r>
        <w:rPr>
          <w:rFonts w:ascii="Arial" w:cs="Arial" w:eastAsia="Arial" w:hAnsi="Arial"/>
          <w:sz w:val="16"/>
          <w:szCs w:val="16"/>
          <w:b w:val="1"/>
          <w:bCs w:val="1"/>
          <w:color w:val="auto"/>
        </w:rPr>
        <w:t>Investor ServiceDirect</w:t>
      </w:r>
      <w:r>
        <w:rPr>
          <w:rFonts w:ascii="Arial" w:cs="Arial" w:eastAsia="Arial" w:hAnsi="Arial"/>
          <w:sz w:val="32"/>
          <w:szCs w:val="32"/>
          <w:b w:val="1"/>
          <w:bCs w:val="1"/>
          <w:color w:val="auto"/>
          <w:vertAlign w:val="superscript"/>
        </w:rPr>
        <w:t>®</w:t>
      </w:r>
      <w:r>
        <w:rPr>
          <w:rFonts w:ascii="Arial" w:cs="Arial" w:eastAsia="Arial" w:hAnsi="Arial"/>
          <w:sz w:val="16"/>
          <w:szCs w:val="16"/>
          <w:color w:val="auto"/>
        </w:rPr>
        <w:t xml:space="preserve"> at </w:t>
      </w:r>
      <w:r>
        <w:rPr>
          <w:rFonts w:ascii="Arial" w:cs="Arial" w:eastAsia="Arial" w:hAnsi="Arial"/>
          <w:sz w:val="16"/>
          <w:szCs w:val="16"/>
          <w:u w:val="single" w:color="auto"/>
          <w:color w:val="auto"/>
        </w:rPr>
        <w:t>www.bnymellon.com/shareowner/isd</w:t>
      </w:r>
      <w:r>
        <w:rPr>
          <w:rFonts w:ascii="Arial" w:cs="Arial" w:eastAsia="Arial" w:hAnsi="Arial"/>
          <w:sz w:val="16"/>
          <w:szCs w:val="16"/>
          <w:color w:val="auto"/>
        </w:rPr>
        <w:t xml:space="preserve"> where step-by-step instructions will prompt you through enrollment.</w:t>
      </w:r>
    </w:p>
    <w:p>
      <w:pPr>
        <w:sectPr>
          <w:pgSz w:w="11900" w:h="16838" w:orient="portrait"/>
          <w:cols w:equalWidth="0" w:num="1">
            <w:col w:w="11420"/>
          </w:cols>
          <w:pgMar w:left="240" w:top="116" w:right="239" w:bottom="92" w:gutter="0" w:footer="0" w:header="0"/>
          <w:type w:val="continuous"/>
        </w:sectPr>
      </w:pPr>
    </w:p>
    <w:bookmarkStart w:id="73" w:name="page74"/>
    <w:bookmarkEnd w:id="73"/>
    <w:p>
      <w:pPr>
        <w:spacing w:after="0" w:line="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You can view the Annual Report and Proxy Statement</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on the Internet at http://bnymellon.mobular.net/bnymellon/fl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2773045</wp:posOffset>
            </wp:positionH>
            <wp:positionV relativeFrom="page">
              <wp:posOffset>88900</wp:posOffset>
            </wp:positionV>
            <wp:extent cx="2015490"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2015490" cy="222885"/>
                    </a:xfrm>
                    <a:prstGeom prst="rect">
                      <a:avLst/>
                    </a:prstGeom>
                    <a:noFill/>
                  </pic:spPr>
                </pic:pic>
              </a:graphicData>
            </a:graphic>
          </wp:anchor>
        </w:drawing>
        <w:t>P R O X Y</w:t>
      </w:r>
    </w:p>
    <w:p>
      <w:pPr>
        <w:spacing w:after="0" w:line="24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18"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THE COMPANY FOR THE ANNUAL MEETING TO BE HELD ON MAY 21, 2008</w:t>
      </w:r>
    </w:p>
    <w:p>
      <w:pPr>
        <w:spacing w:after="0" w:line="275" w:lineRule="exact"/>
        <w:rPr>
          <w:sz w:val="20"/>
          <w:szCs w:val="20"/>
          <w:color w:val="auto"/>
        </w:rPr>
      </w:pPr>
    </w:p>
    <w:p>
      <w:pPr>
        <w:ind w:left="280"/>
        <w:spacing w:after="0"/>
        <w:rPr>
          <w:sz w:val="20"/>
          <w:szCs w:val="20"/>
          <w:color w:val="auto"/>
        </w:rPr>
      </w:pPr>
      <w:r>
        <w:rPr>
          <w:rFonts w:ascii="Arial" w:cs="Arial" w:eastAsia="Arial" w:hAnsi="Arial"/>
          <w:sz w:val="12"/>
          <w:szCs w:val="12"/>
          <w:color w:val="auto"/>
        </w:rPr>
        <w:t>Gary M. Bahler, Robert W. McHugh, Mathew D. Serra, or any of them, each with power of substitution, are hereby authorized to vote the shares of the undersigned at the Annual Meeting</w:t>
      </w:r>
    </w:p>
    <w:p>
      <w:pPr>
        <w:spacing w:after="0" w:line="38"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of Shareholders of Foot Locker, Inc., to be held on May 21, 2008, at 9:00 A.M., local time, at Foot Locker, Inc., 112 West 34th Street, New York, New York 10120, and at any adjournment or postponement thereof, upon the matters set forth in the Foot Locker, Inc. Proxy Statement and upon such other matters as may properly come before the Annual Meeting, voting as specified on the reverse side of this card with respect to the matters set forth in the Proxy Statement, and voting in the discretion of the above-named persons on such other matters as may properly come before the Annual Meeting.</w:t>
      </w:r>
    </w:p>
    <w:p>
      <w:pPr>
        <w:spacing w:after="0" w:line="25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IF YOU ARE NOT VOTING BY TELEPHONE OR INTERNET, PLEASE SIGN AND DATE THE REVERSE SIDE OF THIS PROXY CARD AND PROMPTLY RETURN IT IN THE</w:t>
      </w:r>
    </w:p>
    <w:p>
      <w:pPr>
        <w:spacing w:after="0" w:line="17" w:lineRule="exact"/>
        <w:rPr>
          <w:sz w:val="20"/>
          <w:szCs w:val="20"/>
          <w:color w:val="auto"/>
        </w:rPr>
      </w:pPr>
    </w:p>
    <w:p>
      <w:pPr>
        <w:jc w:val="both"/>
        <w:ind w:right="160"/>
        <w:spacing w:after="0" w:line="234" w:lineRule="auto"/>
        <w:rPr>
          <w:sz w:val="20"/>
          <w:szCs w:val="20"/>
          <w:color w:val="auto"/>
        </w:rPr>
      </w:pPr>
      <w:r>
        <w:rPr>
          <w:rFonts w:ascii="Arial" w:cs="Arial" w:eastAsia="Arial" w:hAnsi="Arial"/>
          <w:sz w:val="14"/>
          <w:szCs w:val="14"/>
          <w:b w:val="1"/>
          <w:bCs w:val="1"/>
          <w:color w:val="auto"/>
        </w:rPr>
        <w:t>ENCLOSED ENVELOPE. THE PERSONS NAMED ABOVE AS PROXIES CANNOT VOTE YOUR SHARES UNLESS YOU SIGN AND RETURN THIS CARD OR VOTE BY TELEPHONE OR INTERNET. YOU MAY SPECIFY YOUR CHOICES BY MARKING THE APPROPRIATE BOXES, BUT YOU NEED NOT MARK ANY BOX IF YOU WISH TO VOTE IN ACCORDANCE WITH THE BOARD OF DIRECTORS’ RECOMMENDATIONS.</w:t>
      </w:r>
    </w:p>
    <w:p>
      <w:pPr>
        <w:spacing w:after="0" w:line="256"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EMPLOYEE PLANS</w:t>
      </w:r>
    </w:p>
    <w:p>
      <w:pPr>
        <w:spacing w:after="0" w:line="31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IF YOU ARE A PARTICIPANT IN THE FOOT LOCKER 401(k) PLAN OR THE FOOT LOCKER PUERTO RICO 1165(e) PLAN, THIS PROXY CARD COVERS THOSE SHARES</w:t>
      </w:r>
    </w:p>
    <w:p>
      <w:pPr>
        <w:spacing w:after="0" w:line="15" w:lineRule="exact"/>
        <w:rPr>
          <w:sz w:val="20"/>
          <w:szCs w:val="20"/>
          <w:color w:val="auto"/>
        </w:rPr>
      </w:pPr>
    </w:p>
    <w:p>
      <w:pPr>
        <w:jc w:val="both"/>
        <w:ind w:right="160"/>
        <w:spacing w:after="0" w:line="231" w:lineRule="auto"/>
        <w:rPr>
          <w:sz w:val="20"/>
          <w:szCs w:val="20"/>
          <w:color w:val="auto"/>
        </w:rPr>
      </w:pPr>
      <w:r>
        <w:rPr>
          <w:rFonts w:ascii="Arial" w:cs="Arial" w:eastAsia="Arial" w:hAnsi="Arial"/>
          <w:sz w:val="14"/>
          <w:szCs w:val="14"/>
          <w:color w:val="auto"/>
        </w:rPr>
        <w:t>ALLOCATED TO YOUR PLAN ACCOUNT. BY SIGNING AND RETURNING THIS PROXY CARD (OR VOTING BY TELEPHONE OR THE INTERNET) YOU WILL AUTHORIZE THE PLAN TRUSTEES TO VOTE THOSE SHARES ALLOCATED TO YOUR ACCOUNT AS YOU HAVE DIRECTED.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904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904875"/>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4F4F"/>
        </w:rPr>
        <w:t>Address Change/Comments (Mark the corresponding box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t>
      </w:r>
    </w:p>
    <w:p>
      <w:pPr>
        <w:spacing w:after="0" w:line="4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 FOLD AND DETACH HERE 5</w:t>
      </w:r>
    </w:p>
    <w:p>
      <w:pPr>
        <w:spacing w:after="0" w:line="208" w:lineRule="exact"/>
        <w:rPr>
          <w:sz w:val="20"/>
          <w:szCs w:val="20"/>
          <w:color w:val="auto"/>
        </w:rPr>
      </w:pPr>
    </w:p>
    <w:p>
      <w:pPr>
        <w:ind w:left="860"/>
        <w:spacing w:after="0"/>
        <w:rPr>
          <w:sz w:val="20"/>
          <w:szCs w:val="20"/>
          <w:color w:val="auto"/>
        </w:rPr>
      </w:pPr>
      <w:r>
        <w:rPr>
          <w:rFonts w:ascii="Arial" w:cs="Arial" w:eastAsia="Arial" w:hAnsi="Arial"/>
          <w:sz w:val="32"/>
          <w:szCs w:val="32"/>
          <w:b w:val="1"/>
          <w:bCs w:val="1"/>
          <w:i w:val="1"/>
          <w:iCs w:val="1"/>
          <w:color w:val="auto"/>
        </w:rPr>
        <w:t>You can now access your FOOT LOCKER, INC. account online.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Access your Foot Locker, Inc. shareholder account online via Investor ServiceDirect</w:t>
      </w:r>
      <w:r>
        <w:rPr>
          <w:rFonts w:ascii="Arial" w:cs="Arial" w:eastAsia="Arial" w:hAnsi="Arial"/>
          <w:sz w:val="35"/>
          <w:szCs w:val="35"/>
          <w:color w:val="auto"/>
          <w:vertAlign w:val="superscript"/>
        </w:rPr>
        <w:t>®</w:t>
      </w:r>
      <w:r>
        <w:rPr>
          <w:rFonts w:ascii="Arial" w:cs="Arial" w:eastAsia="Arial" w:hAnsi="Arial"/>
          <w:sz w:val="18"/>
          <w:szCs w:val="18"/>
          <w:color w:val="auto"/>
        </w:rPr>
        <w:t xml:space="preserve"> (ISD).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Foot Locker, Inc, now makes it easy and convenient to get current information on your shareholder account.</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View account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View certificate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View book-entry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View payment history for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Make address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Obtain a duplicate 1099 tax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Establish/change your 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Visit us on the web at http://www.bnymellon.com/shareowner/isd</w:t>
      </w:r>
    </w:p>
    <w:p>
      <w:pPr>
        <w:sectPr>
          <w:pgSz w:w="11900" w:h="16838" w:orient="portrait"/>
          <w:cols w:equalWidth="0" w:num="1">
            <w:col w:w="11420"/>
          </w:cols>
          <w:pgMar w:left="240" w:top="458"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For Technical Assistance Call 1-877-978-7778 between 9am-7pm</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Monday-Friday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45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S"/>
      <w:numFmt w:val="bullet"/>
      <w:start w:val="1"/>
    </w:lvl>
  </w:abstractNum>
  <w:abstractNum w:abstractNumId="2">
    <w:nsid w:val="51EAD36B"/>
    <w:multiLevelType w:val="hybridMultilevel"/>
    <w:lvl w:ilvl="0">
      <w:lvlJc w:val="left"/>
      <w:lvlText w:val="£"/>
      <w:numFmt w:val="bullet"/>
      <w:start w:val="1"/>
    </w:lvl>
    <w:lvl w:ilvl="1">
      <w:lvlJc w:val="left"/>
      <w:lvlText w:val="(%2)"/>
      <w:numFmt w:val="decimal"/>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1)"/>
      <w:numFmt w:val="lowerLetter"/>
      <w:start w:val="1"/>
    </w:lvl>
  </w:abstractNum>
  <w:abstractNum w:abstractNumId="10">
    <w:nsid w:val="1D4ED43B"/>
    <w:multiLevelType w:val="hybridMultilevel"/>
    <w:lvl w:ilvl="0">
      <w:lvlJc w:val="left"/>
      <w:lvlText w:val="(%1)"/>
      <w:numFmt w:val="lowerLetter"/>
      <w:start w:val="1"/>
    </w:lvl>
  </w:abstractNum>
  <w:abstractNum w:abstractNumId="11">
    <w:nsid w:val="725A06FB"/>
    <w:multiLevelType w:val="hybridMultilevel"/>
    <w:lvl w:ilvl="0">
      <w:lvlJc w:val="left"/>
      <w:lvlText w:val="(%1)"/>
      <w:numFmt w:val="lowerLetter"/>
      <w:start w:val="6"/>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decimal"/>
      <w:start w:val="2"/>
    </w:lvl>
  </w:abstractNum>
  <w:abstractNum w:abstractNumId="21">
    <w:nsid w:val="684A481A"/>
    <w:multiLevelType w:val="hybridMultilevel"/>
    <w:lvl w:ilvl="0">
      <w:lvlJc w:val="left"/>
      <w:lvlText w:val="(%1)"/>
      <w:numFmt w:val="decimal"/>
      <w:start w:val="4"/>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6"/>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decimal"/>
      <w:start w:val="4"/>
    </w:lvl>
  </w:abstractNum>
  <w:abstractNum w:abstractNumId="31">
    <w:nsid w:val="374A3FE6"/>
    <w:multiLevelType w:val="hybridMultilevel"/>
    <w:lvl w:ilvl="0">
      <w:lvlJc w:val="left"/>
      <w:lvlText w:val="(%1)"/>
      <w:numFmt w:val="decimal"/>
      <w:start w:val="3"/>
    </w:lvl>
  </w:abstractNum>
  <w:abstractNum w:abstractNumId="32">
    <w:nsid w:val="4F4EF005"/>
    <w:multiLevelType w:val="hybridMultilevel"/>
    <w:lvl w:ilvl="0">
      <w:lvlJc w:val="left"/>
      <w:lvlText w:val="•"/>
      <w:numFmt w:val="bullet"/>
      <w:start w:val="1"/>
    </w:lvl>
    <w:lvl w:ilvl="1">
      <w:lvlJc w:val="left"/>
      <w:lvlText w:val="\emdash "/>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emdash "/>
      <w:numFmt w:val="bullet"/>
      <w:start w:val="1"/>
    </w:lvl>
  </w:abstractNum>
  <w:abstractNum w:abstractNumId="35">
    <w:nsid w:val="275AC794"/>
    <w:multiLevelType w:val="hybridMultilevel"/>
    <w:lvl w:ilvl="0">
      <w:lvlJc w:val="left"/>
      <w:lvlText w:val="\emdash "/>
      <w:numFmt w:val="bullet"/>
      <w:start w:val="1"/>
    </w:lvl>
  </w:abstractNum>
  <w:abstractNum w:abstractNumId="36">
    <w:nsid w:val="39386575"/>
    <w:multiLevelType w:val="hybridMultilevel"/>
    <w:lvl w:ilvl="0">
      <w:lvlJc w:val="left"/>
      <w:lvlText w:val="\emdash "/>
      <w:numFmt w:val="bullet"/>
      <w:start w:val="1"/>
    </w:lvl>
  </w:abstractNum>
  <w:abstractNum w:abstractNumId="37">
    <w:nsid w:val="1CF10FD8"/>
    <w:multiLevelType w:val="hybridMultilevel"/>
    <w:lvl w:ilvl="0">
      <w:lvlJc w:val="left"/>
      <w:lvlText w:val="\emdash "/>
      <w:numFmt w:val="bullet"/>
      <w:start w:val="1"/>
    </w:lvl>
  </w:abstractNum>
  <w:abstractNum w:abstractNumId="38">
    <w:nsid w:val="180115BE"/>
    <w:multiLevelType w:val="hybridMultilevel"/>
    <w:lvl w:ilvl="0">
      <w:lvlJc w:val="left"/>
      <w:lvlText w:val="\emdash "/>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lvl w:ilvl="1">
      <w:lvlJc w:val="left"/>
      <w:lvlText w:val="\emdash "/>
      <w:numFmt w:val="bullet"/>
      <w:start w:val="1"/>
    </w:lvl>
  </w:abstractNum>
  <w:abstractNum w:abstractNumId="41">
    <w:nsid w:val="354FE9F9"/>
    <w:multiLevelType w:val="hybridMultilevel"/>
    <w:lvl w:ilvl="0">
      <w:lvlJc w:val="left"/>
      <w:lvlText w:val="\emdash "/>
      <w:numFmt w:val="bullet"/>
      <w:start w:val="1"/>
    </w:lvl>
  </w:abstractNum>
  <w:abstractNum w:abstractNumId="42">
    <w:nsid w:val="15B5AF5C"/>
    <w:multiLevelType w:val="hybridMultilevel"/>
    <w:lvl w:ilvl="0">
      <w:lvlJc w:val="left"/>
      <w:lvlText w:val="\emdash "/>
      <w:numFmt w:val="bullet"/>
      <w:start w:val="1"/>
    </w:lvl>
  </w:abstractNum>
  <w:abstractNum w:abstractNumId="43">
    <w:nsid w:val="741226BB"/>
    <w:multiLevelType w:val="hybridMultilevel"/>
    <w:lvl w:ilvl="0">
      <w:lvlJc w:val="left"/>
      <w:lvlText w:val="\emdash "/>
      <w:numFmt w:val="bullet"/>
      <w:start w:val="1"/>
    </w:lvl>
  </w:abstractNum>
  <w:abstractNum w:abstractNumId="44">
    <w:nsid w:val="D34B6A8"/>
    <w:multiLevelType w:val="hybridMultilevel"/>
    <w:lvl w:ilvl="0">
      <w:lvlJc w:val="left"/>
      <w:lvlText w:val="\emdash "/>
      <w:numFmt w:val="bullet"/>
      <w:start w:val="1"/>
    </w:lvl>
  </w:abstractNum>
  <w:abstractNum w:abstractNumId="45">
    <w:nsid w:val="10233C99"/>
    <w:multiLevelType w:val="hybridMultilevel"/>
    <w:lvl w:ilvl="0">
      <w:lvlJc w:val="left"/>
      <w:lvlText w:val="\emdash "/>
      <w:numFmt w:val="bullet"/>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2"/>
    </w:lvl>
  </w:abstractNum>
  <w:abstractNum w:abstractNumId="48">
    <w:nsid w:val="7E0C57B1"/>
    <w:multiLevelType w:val="hybridMultilevel"/>
    <w:lvl w:ilvl="0">
      <w:lvlJc w:val="left"/>
      <w:lvlText w:val="(%1)"/>
      <w:numFmt w:val="decimal"/>
      <w:start w:val="1"/>
    </w:lvl>
  </w:abstractNum>
  <w:abstractNum w:abstractNumId="49">
    <w:nsid w:val="77AE35EB"/>
    <w:multiLevelType w:val="hybridMultilevel"/>
    <w:lvl w:ilvl="0">
      <w:lvlJc w:val="left"/>
      <w:lvlText w:val="(%1)"/>
      <w:numFmt w:val="decimal"/>
      <w:start w:val="3"/>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decimal"/>
      <w:start w:val="3"/>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1)"/>
      <w:numFmt w:val="decimal"/>
      <w:start w:val="3"/>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3"/>
    </w:lvl>
  </w:abstractNum>
  <w:abstractNum w:abstractNumId="56">
    <w:nsid w:val="4AD084E9"/>
    <w:multiLevelType w:val="hybridMultilevel"/>
    <w:lvl w:ilvl="0">
      <w:lvlJc w:val="left"/>
      <w:lvlText w:val="(%1)"/>
      <w:numFmt w:val="decimal"/>
      <w:start w:val="1"/>
    </w:lvl>
    <w:lvl w:ilvl="1">
      <w:lvlJc w:val="left"/>
      <w:lvlText w:val="•"/>
      <w:numFmt w:val="bullet"/>
      <w:start w:val="1"/>
    </w:lvl>
  </w:abstractNum>
  <w:abstractNum w:abstractNumId="57">
    <w:nsid w:val="1F48EAA1"/>
    <w:multiLevelType w:val="hybridMultilevel"/>
    <w:lvl w:ilvl="0">
      <w:lvlJc w:val="left"/>
      <w:lvlText w:val="(%1)"/>
      <w:numFmt w:val="decimal"/>
      <w:start w:val="1"/>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
      <w:numFmt w:val="bullet"/>
      <w:start w:val="1"/>
    </w:lvl>
    <w:lvl w:ilvl="1">
      <w:lvlJc w:val="left"/>
      <w:lvlText w:val="(%2)"/>
      <w:numFmt w:val="lowerLetter"/>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1."/>
      <w:numFmt w:val="decimal"/>
      <w:start w:val="1"/>
    </w:lvl>
  </w:abstractNum>
  <w:abstractNum w:abstractNumId="62">
    <w:nsid w:val="15014ACB"/>
    <w:multiLevelType w:val="hybridMultilevel"/>
    <w:lvl w:ilvl="0">
      <w:lvlJc w:val="left"/>
      <w:lvlText w:val="(%1)"/>
      <w:numFmt w:val="lowerLetter"/>
      <w:start w:val="1"/>
    </w:lvl>
  </w:abstractNum>
  <w:abstractNum w:abstractNumId="63">
    <w:nsid w:val="5F5E7FD0"/>
    <w:multiLevelType w:val="hybridMultilevel"/>
    <w:lvl w:ilvl="0">
      <w:lvlJc w:val="left"/>
      <w:lvlText w:val="%1."/>
      <w:numFmt w:val="decimal"/>
      <w:start w:val="2"/>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decimal"/>
      <w:start w:val="3"/>
    </w:lvl>
  </w:abstractNum>
  <w:abstractNum w:abstractNumId="66">
    <w:nsid w:val="6B94764"/>
    <w:multiLevelType w:val="hybridMultilevel"/>
    <w:lvl w:ilvl="0">
      <w:lvlJc w:val="left"/>
      <w:lvlText w:val="%1."/>
      <w:numFmt w:val="decimal"/>
      <w:start w:val="4"/>
    </w:lvl>
  </w:abstractNum>
  <w:abstractNum w:abstractNumId="67">
    <w:nsid w:val="42C296BD"/>
    <w:multiLevelType w:val="hybridMultilevel"/>
    <w:lvl w:ilvl="0">
      <w:lvlJc w:val="left"/>
      <w:lvlText w:val="%1."/>
      <w:numFmt w:val="decimal"/>
      <w:start w:val="5"/>
    </w:lvl>
  </w:abstractNum>
  <w:abstractNum w:abstractNumId="68">
    <w:nsid w:val="168E121F"/>
    <w:multiLevelType w:val="hybridMultilevel"/>
    <w:lvl w:ilvl="0">
      <w:lvlJc w:val="left"/>
      <w:lvlText w:val="%1."/>
      <w:numFmt w:val="decimal"/>
      <w:start w:val="6"/>
    </w:lvl>
    <w:lvl w:ilvl="1">
      <w:lvlJc w:val="left"/>
      <w:lvlText w:val="(%2)"/>
      <w:numFmt w:val="lowerLetter"/>
      <w:start w:val="1"/>
    </w:lvl>
  </w:abstractNum>
  <w:abstractNum w:abstractNumId="69">
    <w:nsid w:val="1EBA5D23"/>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70">
    <w:nsid w:val="661E3F1E"/>
    <w:multiLevelType w:val="hybridMultilevel"/>
    <w:lvl w:ilvl="0">
      <w:lvlJc w:val="left"/>
      <w:lvlText w:val="%1."/>
      <w:numFmt w:val="decimal"/>
      <w:start w:val="7"/>
    </w:lvl>
    <w:lvl w:ilvl="1">
      <w:lvlJc w:val="left"/>
      <w:lvlText w:val="%2"/>
      <w:numFmt w:val="decimal"/>
      <w:start w:val="1"/>
    </w:lvl>
    <w:lvl w:ilvl="2">
      <w:lvlJc w:val="left"/>
      <w:lvlText w:val="%3"/>
      <w:numFmt w:val="lowerRoman"/>
      <w:start w:val="1"/>
    </w:lvl>
  </w:abstractNum>
  <w:abstractNum w:abstractNumId="71">
    <w:nsid w:val="5DC79EA8"/>
    <w:multiLevelType w:val="hybridMultilevel"/>
    <w:lvl w:ilvl="0">
      <w:lvlJc w:val="left"/>
      <w:lvlText w:val="%1."/>
      <w:numFmt w:val="decimal"/>
      <w:start w:val="8"/>
    </w:lvl>
    <w:lvl w:ilvl="1">
      <w:lvlJc w:val="left"/>
      <w:lvlText w:val="(%2)"/>
      <w:numFmt w:val="lowerLetter"/>
      <w:start w:val="1"/>
    </w:lvl>
  </w:abstractNum>
  <w:abstractNum w:abstractNumId="72">
    <w:nsid w:val="540A471C"/>
    <w:multiLevelType w:val="hybridMultilevel"/>
    <w:lvl w:ilvl="0">
      <w:lvlJc w:val="left"/>
      <w:lvlText w:val="(%1)"/>
      <w:numFmt w:val="lowerLetter"/>
      <w:start w:val="2"/>
    </w:lvl>
  </w:abstractNum>
  <w:abstractNum w:abstractNumId="73">
    <w:nsid w:val="7BD3EE7B"/>
    <w:multiLevelType w:val="hybridMultilevel"/>
    <w:lvl w:ilvl="0">
      <w:lvlJc w:val="left"/>
      <w:lvlText w:val="%1."/>
      <w:numFmt w:val="decimal"/>
      <w:start w:val="1"/>
    </w:lvl>
  </w:abstractNum>
  <w:abstractNum w:abstractNumId="74">
    <w:nsid w:val="51D9C564"/>
    <w:multiLevelType w:val="hybridMultilevel"/>
    <w:lvl w:ilvl="0">
      <w:lvlJc w:val="left"/>
      <w:lvlText w:val="%1."/>
      <w:numFmt w:val="decimal"/>
      <w:start w:val="2"/>
    </w:lvl>
  </w:abstractNum>
  <w:abstractNum w:abstractNumId="75">
    <w:nsid w:val="613EFDC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2019-12-13T18:01:13Z</dcterms:created>
  <dcterms:modified xsi:type="dcterms:W3CDTF">2019-12-13T18:01:13Z</dcterms:modified>
</cp:coreProperties>
</file>